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ABCC3" w14:textId="77777777" w:rsidR="00B704E9" w:rsidRPr="00CF7CC5" w:rsidRDefault="00B704E9" w:rsidP="002B3FB6">
      <w:pPr>
        <w:spacing w:before="240" w:after="240" w:line="240" w:lineRule="auto"/>
        <w:jc w:val="center"/>
        <w:rPr>
          <w:rFonts w:ascii="Times New Roman" w:eastAsia="Calibri" w:hAnsi="Times New Roman" w:cs="Times New Roman"/>
          <w:b/>
          <w:bCs/>
          <w:sz w:val="32"/>
          <w:szCs w:val="32"/>
        </w:rPr>
      </w:pPr>
      <w:r w:rsidRPr="00CF7CC5">
        <w:rPr>
          <w:rFonts w:ascii="Times New Roman" w:eastAsia="Calibri" w:hAnsi="Times New Roman" w:cs="Times New Roman"/>
          <w:b/>
          <w:bCs/>
          <w:sz w:val="32"/>
          <w:szCs w:val="32"/>
        </w:rPr>
        <w:t>Financial Literacy and SMEs in APEC</w:t>
      </w:r>
    </w:p>
    <w:p w14:paraId="425ABCC4"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5"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6"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7"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8"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9"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A"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B"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C"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CD" w14:textId="77777777" w:rsidR="00B704E9" w:rsidRPr="00CF7CC5" w:rsidRDefault="00B704E9" w:rsidP="002B3FB6">
      <w:pPr>
        <w:spacing w:before="240" w:after="240" w:line="240" w:lineRule="auto"/>
        <w:rPr>
          <w:rFonts w:ascii="Times New Roman" w:eastAsia="Calibri" w:hAnsi="Times New Roman" w:cs="Times New Roman"/>
          <w:sz w:val="32"/>
          <w:szCs w:val="32"/>
        </w:rPr>
      </w:pPr>
    </w:p>
    <w:p w14:paraId="425ABCCE"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r w:rsidRPr="00CF7CC5">
        <w:rPr>
          <w:rFonts w:ascii="Times New Roman" w:eastAsia="Calibri" w:hAnsi="Times New Roman" w:cs="Times New Roman"/>
          <w:sz w:val="32"/>
          <w:szCs w:val="32"/>
        </w:rPr>
        <w:t>31 August 2017</w:t>
      </w:r>
    </w:p>
    <w:p w14:paraId="425ABCCF"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D0"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D1"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D2"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pPr>
    </w:p>
    <w:p w14:paraId="425ABCD3" w14:textId="77777777" w:rsidR="00CF7CC5" w:rsidRDefault="00CF7CC5" w:rsidP="002B3FB6">
      <w:pPr>
        <w:spacing w:before="240" w:after="240" w:line="240" w:lineRule="auto"/>
        <w:jc w:val="center"/>
        <w:rPr>
          <w:rFonts w:ascii="Times New Roman" w:eastAsia="Calibri" w:hAnsi="Times New Roman" w:cs="Times New Roman"/>
          <w:sz w:val="32"/>
          <w:szCs w:val="32"/>
        </w:rPr>
      </w:pPr>
    </w:p>
    <w:p w14:paraId="425ABCD4" w14:textId="77777777" w:rsidR="00CF7CC5" w:rsidRDefault="00CF7CC5" w:rsidP="002B3FB6">
      <w:pPr>
        <w:spacing w:before="240" w:after="240" w:line="240" w:lineRule="auto"/>
        <w:jc w:val="center"/>
        <w:rPr>
          <w:rFonts w:ascii="Times New Roman" w:eastAsia="Calibri" w:hAnsi="Times New Roman" w:cs="Times New Roman"/>
          <w:sz w:val="32"/>
          <w:szCs w:val="32"/>
        </w:rPr>
      </w:pPr>
    </w:p>
    <w:p w14:paraId="425ABCD5" w14:textId="77777777" w:rsidR="00CF7CC5" w:rsidRDefault="00CF7CC5" w:rsidP="002B3FB6">
      <w:pPr>
        <w:spacing w:before="240" w:after="240" w:line="240" w:lineRule="auto"/>
        <w:jc w:val="center"/>
        <w:rPr>
          <w:rFonts w:ascii="Times New Roman" w:eastAsia="Calibri" w:hAnsi="Times New Roman" w:cs="Times New Roman"/>
          <w:sz w:val="32"/>
          <w:szCs w:val="32"/>
        </w:rPr>
      </w:pPr>
    </w:p>
    <w:p w14:paraId="425ABCD6" w14:textId="77777777" w:rsidR="00CF7CC5" w:rsidRDefault="00CF7CC5" w:rsidP="002B3FB6">
      <w:pPr>
        <w:spacing w:before="240" w:after="240" w:line="240" w:lineRule="auto"/>
        <w:jc w:val="center"/>
        <w:rPr>
          <w:rFonts w:ascii="Times New Roman" w:eastAsia="Calibri" w:hAnsi="Times New Roman" w:cs="Times New Roman"/>
          <w:sz w:val="32"/>
          <w:szCs w:val="32"/>
        </w:rPr>
      </w:pPr>
    </w:p>
    <w:p w14:paraId="425ABCD7" w14:textId="77777777" w:rsidR="00B704E9" w:rsidRPr="00CF7CC5" w:rsidRDefault="00B704E9" w:rsidP="002B3FB6">
      <w:pPr>
        <w:spacing w:before="240" w:after="240" w:line="240" w:lineRule="auto"/>
        <w:jc w:val="center"/>
        <w:rPr>
          <w:rFonts w:ascii="Times New Roman" w:eastAsia="Calibri" w:hAnsi="Times New Roman" w:cs="Times New Roman"/>
          <w:sz w:val="32"/>
          <w:szCs w:val="32"/>
        </w:rPr>
        <w:sectPr w:rsidR="00B704E9" w:rsidRPr="00CF7CC5" w:rsidSect="00B704E9">
          <w:footerReference w:type="default" r:id="rId8"/>
          <w:pgSz w:w="12240" w:h="15840"/>
          <w:pgMar w:top="1440" w:right="1440" w:bottom="1440" w:left="1440" w:header="720" w:footer="720" w:gutter="0"/>
          <w:pgNumType w:start="1"/>
          <w:cols w:space="720"/>
          <w:docGrid w:linePitch="360"/>
        </w:sectPr>
      </w:pPr>
      <w:r w:rsidRPr="00CF7CC5">
        <w:rPr>
          <w:rFonts w:ascii="Times New Roman" w:eastAsia="Calibri" w:hAnsi="Times New Roman" w:cs="Times New Roman"/>
          <w:sz w:val="32"/>
          <w:szCs w:val="32"/>
        </w:rPr>
        <w:t>Kenan Institute Asia</w:t>
      </w:r>
    </w:p>
    <w:p w14:paraId="425ABCD8" w14:textId="77777777" w:rsidR="00741EC4" w:rsidRPr="00741EC4" w:rsidRDefault="00B704E9" w:rsidP="002B3FB6">
      <w:pPr>
        <w:pStyle w:val="Heading1"/>
        <w:numPr>
          <w:ilvl w:val="0"/>
          <w:numId w:val="1"/>
        </w:numPr>
        <w:spacing w:after="240" w:line="240" w:lineRule="auto"/>
        <w:ind w:left="360" w:hanging="360"/>
        <w:jc w:val="both"/>
        <w:rPr>
          <w:rFonts w:ascii="Times New Roman" w:eastAsia="Calibri" w:hAnsi="Times New Roman" w:cs="Times New Roman"/>
          <w:b/>
          <w:bCs/>
          <w:color w:val="000000" w:themeColor="text1"/>
          <w:sz w:val="24"/>
          <w:szCs w:val="24"/>
        </w:rPr>
      </w:pPr>
      <w:r w:rsidRPr="00B704E9">
        <w:rPr>
          <w:rFonts w:ascii="Times New Roman" w:eastAsia="Calibri" w:hAnsi="Times New Roman" w:cs="Times New Roman"/>
          <w:b/>
          <w:bCs/>
          <w:color w:val="000000" w:themeColor="text1"/>
          <w:sz w:val="24"/>
          <w:szCs w:val="24"/>
        </w:rPr>
        <w:lastRenderedPageBreak/>
        <w:t>Introduction</w:t>
      </w:r>
    </w:p>
    <w:p w14:paraId="425ABCD9" w14:textId="77777777" w:rsidR="00741EC4" w:rsidRDefault="003C69D2" w:rsidP="002B3FB6">
      <w:pPr>
        <w:spacing w:before="240" w:after="240" w:line="240" w:lineRule="auto"/>
        <w:jc w:val="both"/>
        <w:rPr>
          <w:rFonts w:ascii="Times New Roman" w:hAnsi="Times New Roman" w:cs="Times New Roman"/>
          <w:color w:val="000000" w:themeColor="text1"/>
          <w:sz w:val="24"/>
          <w:szCs w:val="24"/>
        </w:rPr>
      </w:pPr>
      <w:r w:rsidRPr="00741EC4">
        <w:rPr>
          <w:rFonts w:ascii="Times New Roman" w:hAnsi="Times New Roman" w:cs="Times New Roman"/>
          <w:color w:val="000000" w:themeColor="text1"/>
          <w:sz w:val="24"/>
          <w:szCs w:val="24"/>
        </w:rPr>
        <w:t xml:space="preserve">For decades, </w:t>
      </w:r>
      <w:r w:rsidR="005D7346" w:rsidRPr="00741EC4">
        <w:rPr>
          <w:rFonts w:ascii="Times New Roman" w:hAnsi="Times New Roman" w:cs="Times New Roman"/>
          <w:color w:val="000000" w:themeColor="text1"/>
          <w:sz w:val="24"/>
          <w:szCs w:val="24"/>
        </w:rPr>
        <w:t>small and medium</w:t>
      </w:r>
      <w:r w:rsidR="005D7346">
        <w:rPr>
          <w:rFonts w:ascii="Times New Roman" w:hAnsi="Times New Roman" w:cs="Times New Roman"/>
          <w:color w:val="000000" w:themeColor="text1"/>
          <w:sz w:val="24"/>
          <w:szCs w:val="24"/>
        </w:rPr>
        <w:t>-</w:t>
      </w:r>
      <w:r w:rsidR="005D7346" w:rsidRPr="00741EC4">
        <w:rPr>
          <w:rFonts w:ascii="Times New Roman" w:hAnsi="Times New Roman" w:cs="Times New Roman"/>
          <w:color w:val="000000" w:themeColor="text1"/>
          <w:sz w:val="24"/>
          <w:szCs w:val="24"/>
        </w:rPr>
        <w:t xml:space="preserve">sized enterprises </w:t>
      </w:r>
      <w:r w:rsidR="00701219" w:rsidRPr="00741EC4">
        <w:rPr>
          <w:rFonts w:ascii="Times New Roman" w:hAnsi="Times New Roman" w:cs="Times New Roman"/>
          <w:color w:val="000000" w:themeColor="text1"/>
          <w:sz w:val="24"/>
          <w:szCs w:val="24"/>
        </w:rPr>
        <w:t xml:space="preserve">(SMEs) </w:t>
      </w:r>
      <w:r w:rsidR="00553700" w:rsidRPr="00741EC4">
        <w:rPr>
          <w:rFonts w:ascii="Times New Roman" w:hAnsi="Times New Roman" w:cs="Times New Roman"/>
          <w:color w:val="000000" w:themeColor="text1"/>
          <w:sz w:val="24"/>
          <w:szCs w:val="24"/>
        </w:rPr>
        <w:t xml:space="preserve">have continuously grown and </w:t>
      </w:r>
      <w:r w:rsidR="004F6497" w:rsidRPr="00741EC4">
        <w:rPr>
          <w:rFonts w:ascii="Times New Roman" w:hAnsi="Times New Roman" w:cs="Times New Roman"/>
          <w:color w:val="000000" w:themeColor="text1"/>
          <w:sz w:val="24"/>
          <w:szCs w:val="24"/>
        </w:rPr>
        <w:t>been recognized</w:t>
      </w:r>
      <w:r w:rsidR="00553700" w:rsidRPr="00741EC4">
        <w:rPr>
          <w:rFonts w:ascii="Times New Roman" w:hAnsi="Times New Roman" w:cs="Times New Roman"/>
          <w:color w:val="000000" w:themeColor="text1"/>
          <w:sz w:val="24"/>
          <w:szCs w:val="24"/>
        </w:rPr>
        <w:t xml:space="preserve"> as an engine </w:t>
      </w:r>
      <w:r w:rsidR="005D7346">
        <w:rPr>
          <w:rFonts w:ascii="Times New Roman" w:hAnsi="Times New Roman" w:cs="Times New Roman"/>
          <w:color w:val="000000" w:themeColor="text1"/>
          <w:sz w:val="24"/>
          <w:szCs w:val="24"/>
        </w:rPr>
        <w:t>that</w:t>
      </w:r>
      <w:r w:rsidR="005D7346" w:rsidRPr="00741EC4">
        <w:rPr>
          <w:rFonts w:ascii="Times New Roman" w:hAnsi="Times New Roman" w:cs="Times New Roman"/>
          <w:color w:val="000000" w:themeColor="text1"/>
          <w:sz w:val="24"/>
          <w:szCs w:val="24"/>
          <w:shd w:val="clear" w:color="auto" w:fill="FBFBF3"/>
        </w:rPr>
        <w:t xml:space="preserve"> </w:t>
      </w:r>
      <w:r w:rsidR="00553700" w:rsidRPr="00741EC4">
        <w:rPr>
          <w:rFonts w:ascii="Times New Roman" w:hAnsi="Times New Roman" w:cs="Times New Roman"/>
          <w:color w:val="000000" w:themeColor="text1"/>
          <w:sz w:val="24"/>
          <w:szCs w:val="24"/>
          <w:shd w:val="clear" w:color="auto" w:fill="FBFBF3"/>
        </w:rPr>
        <w:t xml:space="preserve">encourages </w:t>
      </w:r>
      <w:r w:rsidRPr="00741EC4">
        <w:rPr>
          <w:rFonts w:ascii="Times New Roman" w:hAnsi="Times New Roman" w:cs="Times New Roman"/>
          <w:color w:val="000000" w:themeColor="text1"/>
          <w:sz w:val="24"/>
          <w:szCs w:val="24"/>
          <w:shd w:val="clear" w:color="auto" w:fill="FBFBF3"/>
        </w:rPr>
        <w:t>economic growth</w:t>
      </w:r>
      <w:r w:rsidR="004F6497" w:rsidRPr="00741EC4">
        <w:rPr>
          <w:rFonts w:ascii="Times New Roman" w:hAnsi="Times New Roman" w:cs="Times New Roman"/>
          <w:color w:val="000000" w:themeColor="text1"/>
          <w:sz w:val="24"/>
          <w:szCs w:val="24"/>
          <w:shd w:val="clear" w:color="auto" w:fill="FBFBF3"/>
        </w:rPr>
        <w:t xml:space="preserve"> and employment creation for both developing and developed </w:t>
      </w:r>
      <w:bookmarkStart w:id="0" w:name="_GoBack"/>
      <w:r w:rsidR="004F6497" w:rsidRPr="00741EC4">
        <w:rPr>
          <w:rFonts w:ascii="Times New Roman" w:hAnsi="Times New Roman" w:cs="Times New Roman"/>
          <w:color w:val="000000" w:themeColor="text1"/>
          <w:sz w:val="24"/>
          <w:szCs w:val="24"/>
          <w:shd w:val="clear" w:color="auto" w:fill="FBFBF3"/>
        </w:rPr>
        <w:t>countr</w:t>
      </w:r>
      <w:bookmarkEnd w:id="0"/>
      <w:r w:rsidR="004F6497" w:rsidRPr="00741EC4">
        <w:rPr>
          <w:rFonts w:ascii="Times New Roman" w:hAnsi="Times New Roman" w:cs="Times New Roman"/>
          <w:color w:val="000000" w:themeColor="text1"/>
          <w:sz w:val="24"/>
          <w:szCs w:val="24"/>
          <w:shd w:val="clear" w:color="auto" w:fill="FBFBF3"/>
        </w:rPr>
        <w:t>ies</w:t>
      </w:r>
      <w:sdt>
        <w:sdtPr>
          <w:rPr>
            <w:rFonts w:ascii="Times New Roman" w:hAnsi="Times New Roman" w:cs="Times New Roman"/>
            <w:color w:val="000000" w:themeColor="text1"/>
            <w:sz w:val="24"/>
            <w:szCs w:val="24"/>
            <w:shd w:val="clear" w:color="auto" w:fill="FBFBF3"/>
          </w:rPr>
          <w:id w:val="-64648652"/>
          <w:citation/>
        </w:sdtPr>
        <w:sdtEndPr/>
        <w:sdtContent>
          <w:r w:rsidRPr="00741EC4">
            <w:rPr>
              <w:rFonts w:ascii="Times New Roman" w:hAnsi="Times New Roman" w:cs="Times New Roman"/>
              <w:color w:val="000000" w:themeColor="text1"/>
              <w:sz w:val="24"/>
              <w:szCs w:val="24"/>
              <w:shd w:val="clear" w:color="auto" w:fill="FBFBF3"/>
            </w:rPr>
            <w:fldChar w:fldCharType="begin"/>
          </w:r>
          <w:r w:rsidRPr="00741EC4">
            <w:rPr>
              <w:rFonts w:ascii="Times New Roman" w:hAnsi="Times New Roman" w:cs="Times New Roman"/>
              <w:color w:val="000000" w:themeColor="text1"/>
              <w:sz w:val="24"/>
              <w:szCs w:val="24"/>
              <w:shd w:val="clear" w:color="auto" w:fill="FBFBF3"/>
            </w:rPr>
            <w:instrText xml:space="preserve">CITATION Eni14 \l 1033 </w:instrText>
          </w:r>
          <w:r w:rsidRPr="00741EC4">
            <w:rPr>
              <w:rFonts w:ascii="Times New Roman" w:hAnsi="Times New Roman" w:cs="Times New Roman"/>
              <w:color w:val="000000" w:themeColor="text1"/>
              <w:sz w:val="24"/>
              <w:szCs w:val="24"/>
              <w:shd w:val="clear" w:color="auto" w:fill="FBFBF3"/>
            </w:rPr>
            <w:fldChar w:fldCharType="separate"/>
          </w:r>
          <w:r w:rsidR="004F6497" w:rsidRPr="00741EC4">
            <w:rPr>
              <w:rFonts w:ascii="Times New Roman" w:hAnsi="Times New Roman" w:cs="Times New Roman"/>
              <w:noProof/>
              <w:color w:val="000000" w:themeColor="text1"/>
              <w:sz w:val="24"/>
              <w:szCs w:val="24"/>
              <w:shd w:val="clear" w:color="auto" w:fill="FBFBF3"/>
            </w:rPr>
            <w:t xml:space="preserve"> (Eniola &amp; Ektebang, 2014)</w:t>
          </w:r>
          <w:r w:rsidRPr="00741EC4">
            <w:rPr>
              <w:rFonts w:ascii="Times New Roman" w:hAnsi="Times New Roman" w:cs="Times New Roman"/>
              <w:color w:val="000000" w:themeColor="text1"/>
              <w:sz w:val="24"/>
              <w:szCs w:val="24"/>
              <w:shd w:val="clear" w:color="auto" w:fill="FBFBF3"/>
            </w:rPr>
            <w:fldChar w:fldCharType="end"/>
          </w:r>
        </w:sdtContent>
      </w:sdt>
      <w:r w:rsidR="00553700" w:rsidRPr="00741EC4">
        <w:rPr>
          <w:rFonts w:ascii="Times New Roman" w:hAnsi="Times New Roman" w:cs="Times New Roman"/>
          <w:color w:val="000000" w:themeColor="text1"/>
          <w:sz w:val="24"/>
          <w:szCs w:val="24"/>
          <w:shd w:val="clear" w:color="auto" w:fill="FBFBF3"/>
        </w:rPr>
        <w:t>.</w:t>
      </w:r>
      <w:r w:rsidR="004F6497" w:rsidRPr="00741EC4">
        <w:rPr>
          <w:rFonts w:ascii="Times New Roman" w:hAnsi="Times New Roman" w:cs="Times New Roman"/>
          <w:color w:val="000000" w:themeColor="text1"/>
          <w:sz w:val="24"/>
          <w:szCs w:val="24"/>
          <w:shd w:val="clear" w:color="auto" w:fill="FBFBF3"/>
        </w:rPr>
        <w:t xml:space="preserve"> </w:t>
      </w:r>
      <w:r w:rsidR="00C03A48" w:rsidRPr="00741EC4">
        <w:rPr>
          <w:rFonts w:ascii="Times New Roman" w:hAnsi="Times New Roman" w:cs="Times New Roman"/>
          <w:color w:val="000000" w:themeColor="text1"/>
          <w:sz w:val="24"/>
          <w:szCs w:val="24"/>
          <w:shd w:val="clear" w:color="auto" w:fill="FBFBF3"/>
        </w:rPr>
        <w:t xml:space="preserve">The </w:t>
      </w:r>
      <w:r w:rsidR="00C03A48" w:rsidRPr="00741EC4">
        <w:rPr>
          <w:rFonts w:ascii="Times New Roman" w:hAnsi="Times New Roman" w:cs="Times New Roman"/>
          <w:color w:val="000000" w:themeColor="text1"/>
          <w:sz w:val="24"/>
          <w:szCs w:val="24"/>
        </w:rPr>
        <w:t xml:space="preserve">success or failure of </w:t>
      </w:r>
      <w:r w:rsidR="005D7346">
        <w:rPr>
          <w:rFonts w:ascii="Times New Roman" w:hAnsi="Times New Roman" w:cs="Times New Roman"/>
          <w:color w:val="000000" w:themeColor="text1"/>
          <w:sz w:val="24"/>
          <w:szCs w:val="24"/>
        </w:rPr>
        <w:t>SMEs</w:t>
      </w:r>
      <w:r w:rsidR="00C03A48" w:rsidRPr="00741EC4">
        <w:rPr>
          <w:rFonts w:ascii="Times New Roman" w:hAnsi="Times New Roman" w:cs="Times New Roman"/>
          <w:color w:val="000000" w:themeColor="text1"/>
          <w:sz w:val="24"/>
          <w:szCs w:val="24"/>
        </w:rPr>
        <w:t xml:space="preserve"> is contingent </w:t>
      </w:r>
      <w:r w:rsidR="005D7346">
        <w:rPr>
          <w:rFonts w:ascii="Times New Roman" w:hAnsi="Times New Roman" w:cs="Times New Roman"/>
          <w:color w:val="000000" w:themeColor="text1"/>
          <w:sz w:val="24"/>
          <w:szCs w:val="24"/>
        </w:rPr>
        <w:t>upon</w:t>
      </w:r>
      <w:r w:rsidR="005D7346" w:rsidRPr="00741EC4">
        <w:rPr>
          <w:rFonts w:ascii="Times New Roman" w:hAnsi="Times New Roman" w:cs="Times New Roman"/>
          <w:color w:val="000000" w:themeColor="text1"/>
          <w:sz w:val="24"/>
          <w:szCs w:val="24"/>
        </w:rPr>
        <w:t xml:space="preserve"> </w:t>
      </w:r>
      <w:r w:rsidR="00C03A48" w:rsidRPr="00741EC4">
        <w:rPr>
          <w:rFonts w:ascii="Times New Roman" w:hAnsi="Times New Roman" w:cs="Times New Roman"/>
          <w:color w:val="000000" w:themeColor="text1"/>
          <w:sz w:val="24"/>
          <w:szCs w:val="24"/>
        </w:rPr>
        <w:t xml:space="preserve">their financial viability. Many studies pointed out </w:t>
      </w:r>
      <w:r w:rsidR="00741EC4">
        <w:rPr>
          <w:rFonts w:ascii="Times New Roman" w:hAnsi="Times New Roman" w:cs="Times New Roman"/>
          <w:color w:val="000000" w:themeColor="text1"/>
          <w:sz w:val="24"/>
          <w:szCs w:val="24"/>
        </w:rPr>
        <w:t>a</w:t>
      </w:r>
      <w:r w:rsidR="00741EC4" w:rsidRPr="00741EC4">
        <w:rPr>
          <w:rFonts w:ascii="Times New Roman" w:hAnsi="Times New Roman" w:cs="Times New Roman"/>
          <w:color w:val="000000" w:themeColor="text1"/>
          <w:sz w:val="24"/>
          <w:szCs w:val="24"/>
        </w:rPr>
        <w:t xml:space="preserve"> significant obstacle to performance growth of sustainable </w:t>
      </w:r>
      <w:r w:rsidR="005D7346">
        <w:rPr>
          <w:rFonts w:ascii="Times New Roman" w:hAnsi="Times New Roman" w:cs="Times New Roman"/>
          <w:color w:val="000000" w:themeColor="text1"/>
          <w:sz w:val="24"/>
          <w:szCs w:val="24"/>
        </w:rPr>
        <w:t>SMEs</w:t>
      </w:r>
      <w:r w:rsidR="00741EC4" w:rsidRPr="00741EC4">
        <w:rPr>
          <w:rFonts w:ascii="Times New Roman" w:hAnsi="Times New Roman" w:cs="Times New Roman"/>
          <w:color w:val="000000" w:themeColor="text1"/>
          <w:sz w:val="24"/>
          <w:szCs w:val="24"/>
        </w:rPr>
        <w:t xml:space="preserve"> throughout the developing world is a lack of knowledge, skills, attitude and awareness to cope and direct the finances of their organization in a </w:t>
      </w:r>
      <w:r w:rsidR="005D7346">
        <w:rPr>
          <w:rFonts w:ascii="Times New Roman" w:hAnsi="Times New Roman" w:cs="Times New Roman"/>
          <w:color w:val="000000" w:themeColor="text1"/>
          <w:sz w:val="24"/>
          <w:szCs w:val="24"/>
        </w:rPr>
        <w:t>robust</w:t>
      </w:r>
      <w:r w:rsidR="00741EC4" w:rsidRPr="00741EC4">
        <w:rPr>
          <w:rFonts w:ascii="Times New Roman" w:hAnsi="Times New Roman" w:cs="Times New Roman"/>
          <w:color w:val="000000" w:themeColor="text1"/>
          <w:sz w:val="24"/>
          <w:szCs w:val="24"/>
        </w:rPr>
        <w:t xml:space="preserve">, transparent, and professional way. </w:t>
      </w:r>
      <w:proofErr w:type="spellStart"/>
      <w:r w:rsidR="00741EC4" w:rsidRPr="00741EC4">
        <w:rPr>
          <w:rFonts w:ascii="Times New Roman" w:hAnsi="Times New Roman" w:cs="Times New Roman"/>
          <w:color w:val="000000" w:themeColor="text1"/>
          <w:sz w:val="24"/>
          <w:szCs w:val="24"/>
        </w:rPr>
        <w:t>Joo</w:t>
      </w:r>
      <w:proofErr w:type="spellEnd"/>
      <w:r w:rsidR="00741EC4" w:rsidRPr="00741EC4">
        <w:rPr>
          <w:rFonts w:ascii="Times New Roman" w:hAnsi="Times New Roman" w:cs="Times New Roman"/>
          <w:color w:val="000000" w:themeColor="text1"/>
          <w:sz w:val="24"/>
          <w:szCs w:val="24"/>
        </w:rPr>
        <w:t xml:space="preserve"> and Grable (2000) stated that the reasons why business people make inappropriate, inadequate and ineffective financial decisions are because of the lack of personal financial knowledge, lack of time to learn about personal financial management, complexities in financial transactions and the extensive variety of choices in financial products/services. </w:t>
      </w:r>
      <w:r w:rsidR="005D7346">
        <w:rPr>
          <w:rFonts w:ascii="Times New Roman" w:hAnsi="Times New Roman" w:cs="Times New Roman"/>
          <w:color w:val="000000" w:themeColor="text1"/>
          <w:sz w:val="24"/>
          <w:szCs w:val="24"/>
        </w:rPr>
        <w:t>Moreover, the l</w:t>
      </w:r>
      <w:r w:rsidR="00741EC4" w:rsidRPr="00741EC4">
        <w:rPr>
          <w:rFonts w:ascii="Times New Roman" w:hAnsi="Times New Roman" w:cs="Times New Roman"/>
          <w:color w:val="000000" w:themeColor="text1"/>
          <w:sz w:val="24"/>
          <w:szCs w:val="24"/>
        </w:rPr>
        <w:t xml:space="preserve">ack of business management skills can magnify financial barriers for SMEs. </w:t>
      </w:r>
      <w:r w:rsidR="005D7346">
        <w:rPr>
          <w:rFonts w:ascii="Times New Roman" w:hAnsi="Times New Roman" w:cs="Times New Roman"/>
          <w:color w:val="000000" w:themeColor="text1"/>
          <w:sz w:val="24"/>
          <w:szCs w:val="24"/>
        </w:rPr>
        <w:t>Their l</w:t>
      </w:r>
      <w:r w:rsidR="00741EC4" w:rsidRPr="00741EC4">
        <w:rPr>
          <w:rFonts w:ascii="Times New Roman" w:hAnsi="Times New Roman" w:cs="Times New Roman"/>
          <w:color w:val="000000" w:themeColor="text1"/>
          <w:sz w:val="24"/>
          <w:szCs w:val="24"/>
        </w:rPr>
        <w:t>ow degree of financial literacy can prevent the performance level of SMEs</w:t>
      </w:r>
      <w:r w:rsidR="005D7346">
        <w:rPr>
          <w:rFonts w:ascii="Times New Roman" w:hAnsi="Times New Roman" w:cs="Times New Roman"/>
          <w:color w:val="000000" w:themeColor="text1"/>
          <w:sz w:val="24"/>
          <w:szCs w:val="24"/>
        </w:rPr>
        <w:t>,</w:t>
      </w:r>
      <w:r w:rsidR="00741EC4" w:rsidRPr="00741EC4">
        <w:rPr>
          <w:rFonts w:ascii="Times New Roman" w:hAnsi="Times New Roman" w:cs="Times New Roman"/>
          <w:color w:val="000000" w:themeColor="text1"/>
          <w:sz w:val="24"/>
          <w:szCs w:val="24"/>
        </w:rPr>
        <w:t xml:space="preserve"> </w:t>
      </w:r>
      <w:r w:rsidR="005D7346">
        <w:rPr>
          <w:rFonts w:ascii="Times New Roman" w:hAnsi="Times New Roman" w:cs="Times New Roman"/>
          <w:color w:val="000000" w:themeColor="text1"/>
          <w:sz w:val="24"/>
          <w:szCs w:val="24"/>
        </w:rPr>
        <w:t>because they lack the knowhow to</w:t>
      </w:r>
      <w:r w:rsidR="005D7346" w:rsidRPr="00741EC4">
        <w:rPr>
          <w:rFonts w:ascii="Times New Roman" w:hAnsi="Times New Roman" w:cs="Times New Roman"/>
          <w:color w:val="000000" w:themeColor="text1"/>
          <w:sz w:val="24"/>
          <w:szCs w:val="24"/>
        </w:rPr>
        <w:t xml:space="preserve"> </w:t>
      </w:r>
      <w:r w:rsidR="00741EC4" w:rsidRPr="00741EC4">
        <w:rPr>
          <w:rFonts w:ascii="Times New Roman" w:hAnsi="Times New Roman" w:cs="Times New Roman"/>
          <w:color w:val="000000" w:themeColor="text1"/>
          <w:sz w:val="24"/>
          <w:szCs w:val="24"/>
        </w:rPr>
        <w:t>adequately assess and understand different financing provision</w:t>
      </w:r>
      <w:r w:rsidR="005D7346">
        <w:rPr>
          <w:rFonts w:ascii="Times New Roman" w:hAnsi="Times New Roman" w:cs="Times New Roman"/>
          <w:color w:val="000000" w:themeColor="text1"/>
          <w:sz w:val="24"/>
          <w:szCs w:val="24"/>
        </w:rPr>
        <w:t>s</w:t>
      </w:r>
      <w:r w:rsidR="00741EC4" w:rsidRPr="00741EC4">
        <w:rPr>
          <w:rFonts w:ascii="Times New Roman" w:hAnsi="Times New Roman" w:cs="Times New Roman"/>
          <w:color w:val="000000" w:themeColor="text1"/>
          <w:sz w:val="24"/>
          <w:szCs w:val="24"/>
        </w:rPr>
        <w:t xml:space="preserve"> and </w:t>
      </w:r>
      <w:r w:rsidR="005D7346">
        <w:rPr>
          <w:rFonts w:ascii="Times New Roman" w:hAnsi="Times New Roman" w:cs="Times New Roman"/>
          <w:color w:val="000000" w:themeColor="text1"/>
          <w:sz w:val="24"/>
          <w:szCs w:val="24"/>
        </w:rPr>
        <w:t>navigate</w:t>
      </w:r>
      <w:r w:rsidR="00741EC4" w:rsidRPr="00741EC4">
        <w:rPr>
          <w:rFonts w:ascii="Times New Roman" w:hAnsi="Times New Roman" w:cs="Times New Roman"/>
          <w:color w:val="000000" w:themeColor="text1"/>
          <w:sz w:val="24"/>
          <w:szCs w:val="24"/>
        </w:rPr>
        <w:t xml:space="preserve"> complex loan application procedures.</w:t>
      </w:r>
    </w:p>
    <w:p w14:paraId="425ABCDA" w14:textId="77777777" w:rsidR="004F6497" w:rsidRDefault="00FF76E7" w:rsidP="002B3FB6">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Financial literacy is a key component of the ultimate success of SMEs</w:t>
      </w:r>
      <w:r w:rsidR="00741EC4">
        <w:rPr>
          <w:rFonts w:ascii="Times New Roman" w:hAnsi="Times New Roman" w:cs="Times New Roman"/>
          <w:sz w:val="24"/>
          <w:szCs w:val="24"/>
        </w:rPr>
        <w:t xml:space="preserve">. </w:t>
      </w:r>
      <w:r>
        <w:rPr>
          <w:rFonts w:ascii="Times New Roman" w:hAnsi="Times New Roman" w:cs="Times New Roman"/>
          <w:sz w:val="24"/>
          <w:szCs w:val="24"/>
        </w:rPr>
        <w:t>When armed with sound financial literacy knowledge and skills, SME owners and managers are</w:t>
      </w:r>
      <w:r w:rsidR="00701219" w:rsidRPr="00701219">
        <w:rPr>
          <w:rFonts w:ascii="Times New Roman" w:hAnsi="Times New Roman" w:cs="Times New Roman"/>
          <w:sz w:val="24"/>
          <w:szCs w:val="24"/>
        </w:rPr>
        <w:t xml:space="preserve"> </w:t>
      </w:r>
      <w:r>
        <w:rPr>
          <w:rFonts w:ascii="Times New Roman" w:hAnsi="Times New Roman" w:cs="Times New Roman"/>
          <w:sz w:val="24"/>
          <w:szCs w:val="24"/>
        </w:rPr>
        <w:t>capable of</w:t>
      </w:r>
      <w:r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adequately oversee</w:t>
      </w:r>
      <w:r>
        <w:rPr>
          <w:rFonts w:ascii="Times New Roman" w:hAnsi="Times New Roman" w:cs="Times New Roman"/>
          <w:sz w:val="24"/>
          <w:szCs w:val="24"/>
        </w:rPr>
        <w:t>ing</w:t>
      </w:r>
      <w:r w:rsidR="00701219" w:rsidRPr="00701219">
        <w:rPr>
          <w:rFonts w:ascii="Times New Roman" w:hAnsi="Times New Roman" w:cs="Times New Roman"/>
          <w:sz w:val="24"/>
          <w:szCs w:val="24"/>
        </w:rPr>
        <w:t xml:space="preserve"> financial resources over </w:t>
      </w:r>
      <w:r>
        <w:rPr>
          <w:rFonts w:ascii="Times New Roman" w:hAnsi="Times New Roman" w:cs="Times New Roman"/>
          <w:sz w:val="24"/>
          <w:szCs w:val="24"/>
        </w:rPr>
        <w:t>their</w:t>
      </w:r>
      <w:r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life cycle and connect</w:t>
      </w:r>
      <w:r>
        <w:rPr>
          <w:rFonts w:ascii="Times New Roman" w:hAnsi="Times New Roman" w:cs="Times New Roman"/>
          <w:sz w:val="24"/>
          <w:szCs w:val="24"/>
        </w:rPr>
        <w:t>ing the business</w:t>
      </w:r>
      <w:r w:rsidR="00701219" w:rsidRPr="00701219">
        <w:rPr>
          <w:rFonts w:ascii="Times New Roman" w:hAnsi="Times New Roman" w:cs="Times New Roman"/>
          <w:sz w:val="24"/>
          <w:szCs w:val="24"/>
        </w:rPr>
        <w:t xml:space="preserve"> with financial products and services</w:t>
      </w:r>
      <w:r>
        <w:rPr>
          <w:rFonts w:ascii="Times New Roman" w:hAnsi="Times New Roman" w:cs="Times New Roman"/>
          <w:sz w:val="24"/>
          <w:szCs w:val="24"/>
        </w:rPr>
        <w:t xml:space="preserve"> that can help their businesses grow with</w:t>
      </w:r>
      <w:r w:rsidR="006576CA">
        <w:rPr>
          <w:rFonts w:ascii="Times New Roman" w:hAnsi="Times New Roman" w:cs="Times New Roman"/>
          <w:sz w:val="24"/>
          <w:szCs w:val="24"/>
        </w:rPr>
        <w:t>out</w:t>
      </w:r>
      <w:r>
        <w:rPr>
          <w:rFonts w:ascii="Times New Roman" w:hAnsi="Times New Roman" w:cs="Times New Roman"/>
          <w:sz w:val="24"/>
          <w:szCs w:val="24"/>
        </w:rPr>
        <w:t xml:space="preserve"> incurring excessive risk</w:t>
      </w:r>
      <w:r w:rsidR="00701219" w:rsidRPr="00701219">
        <w:rPr>
          <w:rFonts w:ascii="Times New Roman" w:hAnsi="Times New Roman" w:cs="Times New Roman"/>
          <w:sz w:val="24"/>
          <w:szCs w:val="24"/>
        </w:rPr>
        <w:t xml:space="preserve">. Financial literacy is about discernment and </w:t>
      </w:r>
      <w:r w:rsidR="006576CA">
        <w:rPr>
          <w:rFonts w:ascii="Times New Roman" w:hAnsi="Times New Roman" w:cs="Times New Roman"/>
          <w:sz w:val="24"/>
          <w:szCs w:val="24"/>
        </w:rPr>
        <w:t>making</w:t>
      </w:r>
      <w:r w:rsidR="006576CA" w:rsidRPr="00701219">
        <w:rPr>
          <w:rFonts w:ascii="Times New Roman" w:hAnsi="Times New Roman" w:cs="Times New Roman"/>
          <w:sz w:val="24"/>
          <w:szCs w:val="24"/>
        </w:rPr>
        <w:t xml:space="preserve"> </w:t>
      </w:r>
      <w:r w:rsidR="006576CA">
        <w:rPr>
          <w:rFonts w:ascii="Times New Roman" w:hAnsi="Times New Roman" w:cs="Times New Roman"/>
          <w:sz w:val="24"/>
          <w:szCs w:val="24"/>
        </w:rPr>
        <w:t>sound</w:t>
      </w:r>
      <w:r w:rsidR="006576CA"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 xml:space="preserve">decisions </w:t>
      </w:r>
      <w:r w:rsidR="006576CA">
        <w:rPr>
          <w:rFonts w:ascii="Times New Roman" w:hAnsi="Times New Roman" w:cs="Times New Roman"/>
          <w:sz w:val="24"/>
          <w:szCs w:val="24"/>
        </w:rPr>
        <w:t>about how to</w:t>
      </w:r>
      <w:r w:rsidR="006576CA" w:rsidRPr="00701219">
        <w:rPr>
          <w:rFonts w:ascii="Times New Roman" w:hAnsi="Times New Roman" w:cs="Times New Roman"/>
          <w:sz w:val="24"/>
          <w:szCs w:val="24"/>
        </w:rPr>
        <w:t xml:space="preserve"> </w:t>
      </w:r>
      <w:r w:rsidR="006576CA">
        <w:rPr>
          <w:rFonts w:ascii="Times New Roman" w:hAnsi="Times New Roman" w:cs="Times New Roman"/>
          <w:sz w:val="24"/>
          <w:szCs w:val="24"/>
        </w:rPr>
        <w:t>utilize</w:t>
      </w:r>
      <w:r w:rsidR="006576CA"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 xml:space="preserve">of financial </w:t>
      </w:r>
      <w:r w:rsidR="006576CA">
        <w:rPr>
          <w:rFonts w:ascii="Times New Roman" w:hAnsi="Times New Roman" w:cs="Times New Roman"/>
          <w:sz w:val="24"/>
          <w:szCs w:val="24"/>
        </w:rPr>
        <w:t>resources</w:t>
      </w:r>
      <w:r w:rsidR="006576CA"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w:t>
      </w:r>
      <w:proofErr w:type="spellStart"/>
      <w:r w:rsidR="00701219" w:rsidRPr="00701219">
        <w:rPr>
          <w:rFonts w:ascii="Times New Roman" w:hAnsi="Times New Roman" w:cs="Times New Roman"/>
          <w:sz w:val="24"/>
          <w:szCs w:val="24"/>
        </w:rPr>
        <w:t>Gavigan</w:t>
      </w:r>
      <w:proofErr w:type="spellEnd"/>
      <w:r w:rsidR="00701219" w:rsidRPr="00701219">
        <w:rPr>
          <w:rFonts w:ascii="Times New Roman" w:hAnsi="Times New Roman" w:cs="Times New Roman"/>
          <w:sz w:val="24"/>
          <w:szCs w:val="24"/>
        </w:rPr>
        <w:t xml:space="preserve">, 2010). This is an area that requires knowledge, skill, attitude and experience with goals to deal with the survival of the firm; profit maximization; sales maximization; capturing a particular market share; minimizing staff turnovers and internal conflicts; and maximizing wealth (Jacobs, 2001). It can be among the essential strategic tools to </w:t>
      </w:r>
      <w:r w:rsidR="006576CA">
        <w:rPr>
          <w:rFonts w:ascii="Times New Roman" w:hAnsi="Times New Roman" w:cs="Times New Roman"/>
          <w:sz w:val="24"/>
          <w:szCs w:val="24"/>
        </w:rPr>
        <w:t>better</w:t>
      </w:r>
      <w:r w:rsidR="006576CA" w:rsidRPr="00701219">
        <w:rPr>
          <w:rFonts w:ascii="Times New Roman" w:hAnsi="Times New Roman" w:cs="Times New Roman"/>
          <w:sz w:val="24"/>
          <w:szCs w:val="24"/>
        </w:rPr>
        <w:t xml:space="preserve"> </w:t>
      </w:r>
      <w:r w:rsidR="00701219" w:rsidRPr="00701219">
        <w:rPr>
          <w:rFonts w:ascii="Times New Roman" w:hAnsi="Times New Roman" w:cs="Times New Roman"/>
          <w:sz w:val="24"/>
          <w:szCs w:val="24"/>
        </w:rPr>
        <w:t xml:space="preserve">organize allotments of financial resources and to </w:t>
      </w:r>
      <w:r w:rsidR="006576CA">
        <w:rPr>
          <w:rFonts w:ascii="Times New Roman" w:hAnsi="Times New Roman" w:cs="Times New Roman"/>
          <w:sz w:val="24"/>
          <w:szCs w:val="24"/>
        </w:rPr>
        <w:t xml:space="preserve">buttress the </w:t>
      </w:r>
      <w:r w:rsidR="00701219" w:rsidRPr="00701219">
        <w:rPr>
          <w:rFonts w:ascii="Times New Roman" w:hAnsi="Times New Roman" w:cs="Times New Roman"/>
          <w:sz w:val="24"/>
          <w:szCs w:val="24"/>
        </w:rPr>
        <w:t>financial strength</w:t>
      </w:r>
      <w:r w:rsidR="006576CA">
        <w:rPr>
          <w:rFonts w:ascii="Times New Roman" w:hAnsi="Times New Roman" w:cs="Times New Roman"/>
          <w:sz w:val="24"/>
          <w:szCs w:val="24"/>
        </w:rPr>
        <w:t xml:space="preserve"> of SMEs</w:t>
      </w:r>
      <w:r w:rsidR="00701219" w:rsidRPr="00701219">
        <w:rPr>
          <w:rFonts w:ascii="Times New Roman" w:hAnsi="Times New Roman" w:cs="Times New Roman"/>
          <w:sz w:val="24"/>
          <w:szCs w:val="24"/>
        </w:rPr>
        <w:t xml:space="preserve">. </w:t>
      </w:r>
      <w:r w:rsidR="006541BE">
        <w:rPr>
          <w:rFonts w:ascii="Times New Roman" w:hAnsi="Times New Roman" w:cs="Times New Roman"/>
          <w:sz w:val="24"/>
          <w:szCs w:val="24"/>
        </w:rPr>
        <w:t xml:space="preserve">Nowadays, financial literacy is </w:t>
      </w:r>
      <w:r w:rsidR="006576CA">
        <w:rPr>
          <w:rFonts w:ascii="Times New Roman" w:hAnsi="Times New Roman" w:cs="Times New Roman"/>
          <w:sz w:val="24"/>
          <w:szCs w:val="24"/>
        </w:rPr>
        <w:t xml:space="preserve">a </w:t>
      </w:r>
      <w:r w:rsidR="006541BE">
        <w:rPr>
          <w:rFonts w:ascii="Times New Roman" w:hAnsi="Times New Roman" w:cs="Times New Roman"/>
          <w:sz w:val="24"/>
          <w:szCs w:val="24"/>
        </w:rPr>
        <w:t xml:space="preserve">mandate and key strategy of many countries. </w:t>
      </w:r>
      <w:r w:rsidR="00337BE1">
        <w:rPr>
          <w:rFonts w:ascii="Times New Roman" w:hAnsi="Times New Roman" w:cs="Times New Roman"/>
          <w:sz w:val="24"/>
          <w:szCs w:val="24"/>
        </w:rPr>
        <w:t xml:space="preserve">For APEC economies (e.g. Malaysia, Hong Kong, Australia, </w:t>
      </w:r>
      <w:r w:rsidR="006576CA">
        <w:rPr>
          <w:rFonts w:ascii="Times New Roman" w:hAnsi="Times New Roman" w:cs="Times New Roman"/>
          <w:sz w:val="24"/>
          <w:szCs w:val="24"/>
        </w:rPr>
        <w:t xml:space="preserve">and </w:t>
      </w:r>
      <w:r w:rsidR="00337BE1">
        <w:rPr>
          <w:rFonts w:ascii="Times New Roman" w:hAnsi="Times New Roman" w:cs="Times New Roman"/>
          <w:sz w:val="24"/>
          <w:szCs w:val="24"/>
        </w:rPr>
        <w:t>the U.S</w:t>
      </w:r>
      <w:r w:rsidR="006576CA">
        <w:rPr>
          <w:rFonts w:ascii="Times New Roman" w:hAnsi="Times New Roman" w:cs="Times New Roman"/>
          <w:sz w:val="24"/>
          <w:szCs w:val="24"/>
        </w:rPr>
        <w:t>.</w:t>
      </w:r>
      <w:r w:rsidR="00337BE1">
        <w:rPr>
          <w:rFonts w:ascii="Times New Roman" w:hAnsi="Times New Roman" w:cs="Times New Roman"/>
          <w:sz w:val="24"/>
          <w:szCs w:val="24"/>
        </w:rPr>
        <w:t xml:space="preserve">), there </w:t>
      </w:r>
      <w:r w:rsidR="006576CA">
        <w:rPr>
          <w:rFonts w:ascii="Times New Roman" w:hAnsi="Times New Roman" w:cs="Times New Roman"/>
          <w:sz w:val="24"/>
          <w:szCs w:val="24"/>
        </w:rPr>
        <w:t xml:space="preserve">is </w:t>
      </w:r>
      <w:r w:rsidR="00337BE1">
        <w:rPr>
          <w:rFonts w:ascii="Times New Roman" w:hAnsi="Times New Roman" w:cs="Times New Roman"/>
          <w:sz w:val="24"/>
          <w:szCs w:val="24"/>
        </w:rPr>
        <w:t xml:space="preserve">significant evidence showing that </w:t>
      </w:r>
      <w:r w:rsidR="006541BE">
        <w:rPr>
          <w:rFonts w:ascii="Times New Roman" w:hAnsi="Times New Roman" w:cs="Times New Roman"/>
          <w:sz w:val="24"/>
          <w:szCs w:val="24"/>
        </w:rPr>
        <w:t xml:space="preserve">financial literacy </w:t>
      </w:r>
      <w:r w:rsidR="006576CA">
        <w:rPr>
          <w:rFonts w:ascii="Times New Roman" w:hAnsi="Times New Roman" w:cs="Times New Roman"/>
          <w:sz w:val="24"/>
          <w:szCs w:val="24"/>
        </w:rPr>
        <w:t xml:space="preserve">promotion </w:t>
      </w:r>
      <w:r w:rsidR="006541BE">
        <w:rPr>
          <w:rFonts w:ascii="Times New Roman" w:hAnsi="Times New Roman" w:cs="Times New Roman"/>
          <w:sz w:val="24"/>
          <w:szCs w:val="24"/>
        </w:rPr>
        <w:t xml:space="preserve">and </w:t>
      </w:r>
      <w:r w:rsidR="006576CA">
        <w:rPr>
          <w:rFonts w:ascii="Times New Roman" w:hAnsi="Times New Roman" w:cs="Times New Roman"/>
          <w:sz w:val="24"/>
          <w:szCs w:val="24"/>
        </w:rPr>
        <w:t xml:space="preserve">the provision of </w:t>
      </w:r>
      <w:r w:rsidR="006541BE">
        <w:rPr>
          <w:rFonts w:ascii="Times New Roman" w:hAnsi="Times New Roman" w:cs="Times New Roman"/>
          <w:sz w:val="24"/>
          <w:szCs w:val="24"/>
        </w:rPr>
        <w:t xml:space="preserve">financial literacy training programs </w:t>
      </w:r>
      <w:r w:rsidR="006576CA">
        <w:rPr>
          <w:rFonts w:ascii="Times New Roman" w:hAnsi="Times New Roman" w:cs="Times New Roman"/>
          <w:sz w:val="24"/>
          <w:szCs w:val="24"/>
        </w:rPr>
        <w:t>have strengthened</w:t>
      </w:r>
      <w:r w:rsidR="006541BE">
        <w:rPr>
          <w:rFonts w:ascii="Times New Roman" w:hAnsi="Times New Roman" w:cs="Times New Roman"/>
          <w:sz w:val="24"/>
          <w:szCs w:val="24"/>
        </w:rPr>
        <w:t xml:space="preserve"> SMEs. </w:t>
      </w:r>
    </w:p>
    <w:p w14:paraId="425ABCDB" w14:textId="77777777" w:rsidR="0090450B" w:rsidRPr="00B405A3" w:rsidRDefault="0090450B" w:rsidP="002B3FB6">
      <w:pPr>
        <w:spacing w:before="240" w:after="240" w:line="240" w:lineRule="auto"/>
        <w:jc w:val="both"/>
        <w:rPr>
          <w:rFonts w:ascii="Times New Roman" w:hAnsi="Times New Roman" w:cs="Times New Roman"/>
          <w:sz w:val="24"/>
          <w:szCs w:val="24"/>
        </w:rPr>
      </w:pPr>
      <w:r w:rsidRPr="00B405A3">
        <w:rPr>
          <w:rFonts w:ascii="Times New Roman" w:hAnsi="Times New Roman" w:cs="Times New Roman"/>
          <w:sz w:val="24"/>
          <w:szCs w:val="24"/>
        </w:rPr>
        <w:t xml:space="preserve">This </w:t>
      </w:r>
      <w:r w:rsidR="00337BE1">
        <w:rPr>
          <w:rFonts w:ascii="Times New Roman" w:hAnsi="Times New Roman" w:cs="Times New Roman"/>
          <w:sz w:val="24"/>
          <w:szCs w:val="24"/>
        </w:rPr>
        <w:t>paper titled “</w:t>
      </w:r>
      <w:r w:rsidR="00337BE1" w:rsidRPr="00337BE1">
        <w:rPr>
          <w:rFonts w:ascii="Times New Roman" w:hAnsi="Times New Roman" w:cs="Times New Roman"/>
          <w:sz w:val="24"/>
          <w:szCs w:val="24"/>
        </w:rPr>
        <w:t>Financial Literacy and SMEs in APEC</w:t>
      </w:r>
      <w:r w:rsidR="00337BE1">
        <w:rPr>
          <w:rFonts w:ascii="Times New Roman" w:hAnsi="Times New Roman" w:cs="Times New Roman"/>
          <w:sz w:val="24"/>
          <w:szCs w:val="24"/>
        </w:rPr>
        <w:t>” aims to shed light on the current situation analys</w:t>
      </w:r>
      <w:r w:rsidR="006576CA">
        <w:rPr>
          <w:rFonts w:ascii="Times New Roman" w:hAnsi="Times New Roman" w:cs="Times New Roman"/>
          <w:sz w:val="24"/>
          <w:szCs w:val="24"/>
        </w:rPr>
        <w:t>e</w:t>
      </w:r>
      <w:r w:rsidR="00337BE1">
        <w:rPr>
          <w:rFonts w:ascii="Times New Roman" w:hAnsi="Times New Roman" w:cs="Times New Roman"/>
          <w:sz w:val="24"/>
          <w:szCs w:val="24"/>
        </w:rPr>
        <w:t xml:space="preserve">s of </w:t>
      </w:r>
      <w:r w:rsidR="00337BE1" w:rsidRPr="00B405A3">
        <w:rPr>
          <w:rFonts w:ascii="Times New Roman" w:hAnsi="Times New Roman" w:cs="Times New Roman"/>
          <w:sz w:val="24"/>
          <w:szCs w:val="24"/>
        </w:rPr>
        <w:t>financial</w:t>
      </w:r>
      <w:r w:rsidRPr="00B405A3">
        <w:rPr>
          <w:rFonts w:ascii="Times New Roman" w:hAnsi="Times New Roman" w:cs="Times New Roman"/>
          <w:sz w:val="24"/>
          <w:szCs w:val="24"/>
        </w:rPr>
        <w:t xml:space="preserve"> literacy initiatives </w:t>
      </w:r>
      <w:r w:rsidR="00337BE1">
        <w:rPr>
          <w:rFonts w:ascii="Times New Roman" w:hAnsi="Times New Roman" w:cs="Times New Roman"/>
          <w:sz w:val="24"/>
          <w:szCs w:val="24"/>
        </w:rPr>
        <w:t>among APEC economies</w:t>
      </w:r>
      <w:r w:rsidRPr="00B405A3">
        <w:rPr>
          <w:rFonts w:ascii="Times New Roman" w:hAnsi="Times New Roman" w:cs="Times New Roman"/>
          <w:sz w:val="24"/>
          <w:szCs w:val="24"/>
        </w:rPr>
        <w:t>.</w:t>
      </w:r>
      <w:r w:rsidR="00337BE1">
        <w:rPr>
          <w:rFonts w:ascii="Times New Roman" w:hAnsi="Times New Roman" w:cs="Times New Roman"/>
          <w:sz w:val="24"/>
          <w:szCs w:val="24"/>
        </w:rPr>
        <w:t xml:space="preserve"> The study is based on </w:t>
      </w:r>
      <w:r w:rsidR="006576CA">
        <w:rPr>
          <w:rFonts w:ascii="Times New Roman" w:hAnsi="Times New Roman" w:cs="Times New Roman"/>
          <w:sz w:val="24"/>
          <w:szCs w:val="24"/>
        </w:rPr>
        <w:t xml:space="preserve">a </w:t>
      </w:r>
      <w:r w:rsidR="00337BE1">
        <w:rPr>
          <w:rFonts w:ascii="Times New Roman" w:hAnsi="Times New Roman" w:cs="Times New Roman"/>
          <w:sz w:val="24"/>
          <w:szCs w:val="24"/>
        </w:rPr>
        <w:t xml:space="preserve">survey </w:t>
      </w:r>
      <w:r w:rsidR="006576CA">
        <w:rPr>
          <w:rFonts w:ascii="Times New Roman" w:hAnsi="Times New Roman" w:cs="Times New Roman"/>
          <w:sz w:val="24"/>
          <w:szCs w:val="24"/>
        </w:rPr>
        <w:t xml:space="preserve">of </w:t>
      </w:r>
      <w:r w:rsidR="00337BE1">
        <w:rPr>
          <w:rFonts w:ascii="Times New Roman" w:hAnsi="Times New Roman" w:cs="Times New Roman"/>
          <w:sz w:val="24"/>
          <w:szCs w:val="24"/>
        </w:rPr>
        <w:t xml:space="preserve">17 APEC economies. In the study, it is divided into four main </w:t>
      </w:r>
      <w:r w:rsidR="006576CA">
        <w:rPr>
          <w:rFonts w:ascii="Times New Roman" w:hAnsi="Times New Roman" w:cs="Times New Roman"/>
          <w:sz w:val="24"/>
          <w:szCs w:val="24"/>
        </w:rPr>
        <w:t>sections</w:t>
      </w:r>
      <w:r w:rsidR="00337BE1">
        <w:rPr>
          <w:rFonts w:ascii="Times New Roman" w:hAnsi="Times New Roman" w:cs="Times New Roman"/>
          <w:sz w:val="24"/>
          <w:szCs w:val="24"/>
        </w:rPr>
        <w:t xml:space="preserve">, </w:t>
      </w:r>
      <w:r w:rsidR="006576CA">
        <w:rPr>
          <w:rFonts w:ascii="Times New Roman" w:hAnsi="Times New Roman" w:cs="Times New Roman"/>
          <w:sz w:val="24"/>
          <w:szCs w:val="24"/>
        </w:rPr>
        <w:t xml:space="preserve">namely </w:t>
      </w:r>
      <w:r w:rsidR="00337BE1">
        <w:rPr>
          <w:rFonts w:ascii="Times New Roman" w:hAnsi="Times New Roman" w:cs="Times New Roman"/>
          <w:sz w:val="24"/>
          <w:szCs w:val="24"/>
        </w:rPr>
        <w:t xml:space="preserve">financial education policy, stakeholders, financial education program, and communication. The paper will </w:t>
      </w:r>
      <w:r w:rsidR="006576CA">
        <w:rPr>
          <w:rFonts w:ascii="Times New Roman" w:hAnsi="Times New Roman" w:cs="Times New Roman"/>
          <w:sz w:val="24"/>
          <w:szCs w:val="24"/>
        </w:rPr>
        <w:t>conclude with</w:t>
      </w:r>
      <w:r w:rsidR="00337BE1">
        <w:rPr>
          <w:rFonts w:ascii="Times New Roman" w:hAnsi="Times New Roman" w:cs="Times New Roman"/>
          <w:sz w:val="24"/>
          <w:szCs w:val="24"/>
        </w:rPr>
        <w:t xml:space="preserve"> policy recommendations </w:t>
      </w:r>
      <w:r w:rsidR="006576CA">
        <w:rPr>
          <w:rFonts w:ascii="Times New Roman" w:hAnsi="Times New Roman" w:cs="Times New Roman"/>
          <w:sz w:val="24"/>
          <w:szCs w:val="24"/>
        </w:rPr>
        <w:t>that are</w:t>
      </w:r>
      <w:r w:rsidR="00337BE1">
        <w:rPr>
          <w:rFonts w:ascii="Times New Roman" w:hAnsi="Times New Roman" w:cs="Times New Roman"/>
          <w:sz w:val="24"/>
          <w:szCs w:val="24"/>
        </w:rPr>
        <w:t xml:space="preserve"> applicable for all APEC </w:t>
      </w:r>
      <w:r w:rsidR="006576CA">
        <w:rPr>
          <w:rFonts w:ascii="Times New Roman" w:hAnsi="Times New Roman" w:cs="Times New Roman"/>
          <w:sz w:val="24"/>
          <w:szCs w:val="24"/>
        </w:rPr>
        <w:t>economies</w:t>
      </w:r>
      <w:r w:rsidR="00337BE1">
        <w:rPr>
          <w:rFonts w:ascii="Times New Roman" w:hAnsi="Times New Roman" w:cs="Times New Roman"/>
          <w:sz w:val="24"/>
          <w:szCs w:val="24"/>
        </w:rPr>
        <w:t xml:space="preserve">. </w:t>
      </w:r>
    </w:p>
    <w:p w14:paraId="425ABCDC" w14:textId="77777777" w:rsidR="0090450B" w:rsidRPr="00701219" w:rsidRDefault="0090450B" w:rsidP="002B3FB6">
      <w:pPr>
        <w:pStyle w:val="Heading1"/>
        <w:numPr>
          <w:ilvl w:val="0"/>
          <w:numId w:val="1"/>
        </w:numPr>
        <w:spacing w:after="240" w:line="240" w:lineRule="auto"/>
        <w:ind w:left="360" w:hanging="360"/>
        <w:rPr>
          <w:rFonts w:ascii="Times New Roman" w:hAnsi="Times New Roman" w:cs="Times New Roman"/>
          <w:b/>
          <w:bCs/>
          <w:color w:val="000000" w:themeColor="text1"/>
          <w:sz w:val="24"/>
          <w:szCs w:val="24"/>
        </w:rPr>
      </w:pPr>
      <w:r w:rsidRPr="0090450B">
        <w:rPr>
          <w:rFonts w:ascii="Times New Roman" w:hAnsi="Times New Roman" w:cs="Times New Roman"/>
          <w:b/>
          <w:bCs/>
          <w:color w:val="000000" w:themeColor="text1"/>
          <w:sz w:val="24"/>
          <w:szCs w:val="24"/>
        </w:rPr>
        <w:t>The Importance of Financial Literacy</w:t>
      </w:r>
    </w:p>
    <w:p w14:paraId="425ABCDD" w14:textId="77777777" w:rsidR="004071C5" w:rsidRPr="004071C5" w:rsidRDefault="004071C5" w:rsidP="00B54E44">
      <w:pPr>
        <w:spacing w:before="240" w:after="240" w:line="240" w:lineRule="auto"/>
        <w:jc w:val="both"/>
        <w:rPr>
          <w:rFonts w:ascii="Times New Roman" w:hAnsi="Times New Roman" w:cs="Times New Roman"/>
          <w:color w:val="000000" w:themeColor="text1"/>
          <w:sz w:val="24"/>
          <w:szCs w:val="24"/>
        </w:rPr>
      </w:pPr>
      <w:r w:rsidRPr="004071C5">
        <w:rPr>
          <w:rFonts w:ascii="Times New Roman" w:hAnsi="Times New Roman" w:cs="Times New Roman"/>
          <w:sz w:val="24"/>
          <w:szCs w:val="24"/>
        </w:rPr>
        <w:t>Literacy is a permanently developed skill of individuals to use socially arranged systems of symbols for receiving, understanding, creating and using texts for life in the family, school, at work and in society. The bases of literacy are reading, writing and calculation</w:t>
      </w:r>
      <w:r w:rsidR="00BF2019">
        <w:rPr>
          <w:rFonts w:ascii="Times New Roman" w:hAnsi="Times New Roman" w:cs="Times New Roman"/>
          <w:sz w:val="24"/>
          <w:szCs w:val="24"/>
        </w:rPr>
        <w:t>;</w:t>
      </w:r>
      <w:r w:rsidRPr="004071C5">
        <w:rPr>
          <w:rFonts w:ascii="Times New Roman" w:hAnsi="Times New Roman" w:cs="Times New Roman"/>
          <w:sz w:val="24"/>
          <w:szCs w:val="24"/>
        </w:rPr>
        <w:t xml:space="preserve"> without </w:t>
      </w:r>
      <w:r w:rsidR="00BF2019">
        <w:rPr>
          <w:rFonts w:ascii="Times New Roman" w:hAnsi="Times New Roman" w:cs="Times New Roman"/>
          <w:sz w:val="24"/>
          <w:szCs w:val="24"/>
        </w:rPr>
        <w:t>these skills, it is extraordinarily difficult to function</w:t>
      </w:r>
      <w:r w:rsidR="00BF2019" w:rsidRPr="004071C5">
        <w:rPr>
          <w:rFonts w:ascii="Times New Roman" w:hAnsi="Times New Roman" w:cs="Times New Roman"/>
          <w:sz w:val="24"/>
          <w:szCs w:val="24"/>
        </w:rPr>
        <w:t xml:space="preserve"> </w:t>
      </w:r>
      <w:r w:rsidRPr="004071C5">
        <w:rPr>
          <w:rFonts w:ascii="Times New Roman" w:hAnsi="Times New Roman" w:cs="Times New Roman"/>
          <w:sz w:val="24"/>
          <w:szCs w:val="24"/>
        </w:rPr>
        <w:t>in modern developed societ</w:t>
      </w:r>
      <w:r w:rsidR="00BF2019">
        <w:rPr>
          <w:rFonts w:ascii="Times New Roman" w:hAnsi="Times New Roman" w:cs="Times New Roman"/>
          <w:sz w:val="24"/>
          <w:szCs w:val="24"/>
        </w:rPr>
        <w:t>ies</w:t>
      </w:r>
      <w:r w:rsidRPr="004071C5">
        <w:rPr>
          <w:rFonts w:ascii="Times New Roman" w:hAnsi="Times New Roman" w:cs="Times New Roman"/>
          <w:sz w:val="24"/>
          <w:szCs w:val="24"/>
        </w:rPr>
        <w:t xml:space="preserve">. Literacy is </w:t>
      </w:r>
      <w:r w:rsidR="00BF2019">
        <w:rPr>
          <w:rFonts w:ascii="Times New Roman" w:hAnsi="Times New Roman" w:cs="Times New Roman"/>
          <w:sz w:val="24"/>
          <w:szCs w:val="24"/>
        </w:rPr>
        <w:t>considered</w:t>
      </w:r>
      <w:r w:rsidRPr="004071C5">
        <w:rPr>
          <w:rFonts w:ascii="Times New Roman" w:hAnsi="Times New Roman" w:cs="Times New Roman"/>
          <w:sz w:val="24"/>
          <w:szCs w:val="24"/>
        </w:rPr>
        <w:t xml:space="preserve"> a preliminary condition for successful and creative personal growth and responsible </w:t>
      </w:r>
      <w:r w:rsidR="00BF2019">
        <w:rPr>
          <w:rFonts w:ascii="Times New Roman" w:hAnsi="Times New Roman" w:cs="Times New Roman"/>
          <w:sz w:val="24"/>
          <w:szCs w:val="24"/>
        </w:rPr>
        <w:t>choices</w:t>
      </w:r>
      <w:r w:rsidR="00BF2019" w:rsidRPr="004071C5">
        <w:rPr>
          <w:rFonts w:ascii="Times New Roman" w:hAnsi="Times New Roman" w:cs="Times New Roman"/>
          <w:sz w:val="24"/>
          <w:szCs w:val="24"/>
        </w:rPr>
        <w:t xml:space="preserve"> </w:t>
      </w:r>
      <w:r w:rsidRPr="004071C5">
        <w:rPr>
          <w:rFonts w:ascii="Times New Roman" w:hAnsi="Times New Roman" w:cs="Times New Roman"/>
          <w:sz w:val="24"/>
          <w:szCs w:val="24"/>
        </w:rPr>
        <w:t xml:space="preserve">in professional and social life (National </w:t>
      </w:r>
      <w:r w:rsidR="00BF2019">
        <w:rPr>
          <w:rFonts w:ascii="Times New Roman" w:hAnsi="Times New Roman" w:cs="Times New Roman"/>
          <w:sz w:val="24"/>
          <w:szCs w:val="24"/>
        </w:rPr>
        <w:t>S</w:t>
      </w:r>
      <w:r w:rsidRPr="004071C5">
        <w:rPr>
          <w:rFonts w:ascii="Times New Roman" w:hAnsi="Times New Roman" w:cs="Times New Roman"/>
          <w:sz w:val="24"/>
          <w:szCs w:val="24"/>
        </w:rPr>
        <w:t xml:space="preserve">trategy for the </w:t>
      </w:r>
      <w:r w:rsidR="00BF2019">
        <w:rPr>
          <w:rFonts w:ascii="Times New Roman" w:hAnsi="Times New Roman" w:cs="Times New Roman"/>
          <w:sz w:val="24"/>
          <w:szCs w:val="24"/>
        </w:rPr>
        <w:t>D</w:t>
      </w:r>
      <w:r w:rsidRPr="004071C5">
        <w:rPr>
          <w:rFonts w:ascii="Times New Roman" w:hAnsi="Times New Roman" w:cs="Times New Roman"/>
          <w:sz w:val="24"/>
          <w:szCs w:val="24"/>
        </w:rPr>
        <w:t xml:space="preserve">evelopment of </w:t>
      </w:r>
      <w:r w:rsidR="00BF2019">
        <w:rPr>
          <w:rFonts w:ascii="Times New Roman" w:hAnsi="Times New Roman" w:cs="Times New Roman"/>
          <w:sz w:val="24"/>
          <w:szCs w:val="24"/>
        </w:rPr>
        <w:t>L</w:t>
      </w:r>
      <w:r w:rsidRPr="004071C5">
        <w:rPr>
          <w:rFonts w:ascii="Times New Roman" w:hAnsi="Times New Roman" w:cs="Times New Roman"/>
          <w:sz w:val="24"/>
          <w:szCs w:val="24"/>
        </w:rPr>
        <w:t xml:space="preserve">iteracy, 2006). </w:t>
      </w:r>
      <w:r w:rsidRPr="004071C5">
        <w:rPr>
          <w:rFonts w:ascii="Times New Roman" w:hAnsi="Times New Roman" w:cs="Times New Roman"/>
          <w:sz w:val="24"/>
          <w:szCs w:val="24"/>
        </w:rPr>
        <w:lastRenderedPageBreak/>
        <w:t xml:space="preserve">The </w:t>
      </w:r>
      <w:r w:rsidR="00BF2019">
        <w:rPr>
          <w:rFonts w:ascii="Times New Roman" w:hAnsi="Times New Roman" w:cs="Times New Roman"/>
          <w:sz w:val="24"/>
          <w:szCs w:val="24"/>
        </w:rPr>
        <w:t>I</w:t>
      </w:r>
      <w:r w:rsidRPr="004071C5">
        <w:rPr>
          <w:rFonts w:ascii="Times New Roman" w:hAnsi="Times New Roman" w:cs="Times New Roman"/>
          <w:sz w:val="24"/>
          <w:szCs w:val="24"/>
        </w:rPr>
        <w:t xml:space="preserve">nternet, modern technology and digitalization have changed the nature, frequency and meaning of </w:t>
      </w:r>
      <w:r w:rsidR="00BF2019">
        <w:rPr>
          <w:rFonts w:ascii="Times New Roman" w:hAnsi="Times New Roman" w:cs="Times New Roman"/>
          <w:sz w:val="24"/>
          <w:szCs w:val="24"/>
        </w:rPr>
        <w:t>literacy</w:t>
      </w:r>
      <w:r w:rsidRPr="004071C5">
        <w:rPr>
          <w:rFonts w:ascii="Times New Roman" w:hAnsi="Times New Roman" w:cs="Times New Roman"/>
          <w:sz w:val="24"/>
          <w:szCs w:val="24"/>
        </w:rPr>
        <w:t>.</w:t>
      </w:r>
    </w:p>
    <w:p w14:paraId="425ABCDE" w14:textId="77777777" w:rsidR="002B3FB6" w:rsidRPr="009A4565" w:rsidRDefault="002B3FB6" w:rsidP="00B54E44">
      <w:pPr>
        <w:spacing w:before="240" w:after="240" w:line="240" w:lineRule="auto"/>
        <w:jc w:val="both"/>
        <w:rPr>
          <w:rFonts w:ascii="Times New Roman" w:hAnsi="Times New Roman" w:cs="Times New Roman"/>
          <w:color w:val="000000" w:themeColor="text1"/>
          <w:sz w:val="24"/>
          <w:szCs w:val="24"/>
        </w:rPr>
      </w:pPr>
      <w:r w:rsidRPr="00B54E44">
        <w:rPr>
          <w:rFonts w:ascii="Times New Roman" w:hAnsi="Times New Roman" w:cs="Times New Roman"/>
          <w:color w:val="000000" w:themeColor="text1"/>
          <w:sz w:val="24"/>
          <w:szCs w:val="24"/>
        </w:rPr>
        <w:t xml:space="preserve">The term of </w:t>
      </w:r>
      <w:r w:rsidR="00BF2019">
        <w:rPr>
          <w:rFonts w:ascii="Times New Roman" w:hAnsi="Times New Roman" w:cs="Times New Roman"/>
          <w:color w:val="000000" w:themeColor="text1"/>
          <w:sz w:val="24"/>
          <w:szCs w:val="24"/>
        </w:rPr>
        <w:t>“</w:t>
      </w:r>
      <w:r w:rsidRPr="00B54E44">
        <w:rPr>
          <w:rFonts w:ascii="Times New Roman" w:hAnsi="Times New Roman" w:cs="Times New Roman"/>
          <w:color w:val="000000" w:themeColor="text1"/>
          <w:sz w:val="24"/>
          <w:szCs w:val="24"/>
        </w:rPr>
        <w:t>f</w:t>
      </w:r>
      <w:r w:rsidR="00DA3866" w:rsidRPr="00B54E44">
        <w:rPr>
          <w:rFonts w:ascii="Times New Roman" w:hAnsi="Times New Roman" w:cs="Times New Roman"/>
          <w:color w:val="000000" w:themeColor="text1"/>
          <w:sz w:val="24"/>
          <w:szCs w:val="24"/>
        </w:rPr>
        <w:t>inancial literacy</w:t>
      </w:r>
      <w:r w:rsidR="00BF2019">
        <w:rPr>
          <w:rFonts w:ascii="Times New Roman" w:hAnsi="Times New Roman" w:cs="Times New Roman"/>
          <w:color w:val="000000" w:themeColor="text1"/>
          <w:sz w:val="24"/>
          <w:szCs w:val="24"/>
        </w:rPr>
        <w:t>”</w:t>
      </w:r>
      <w:r w:rsidR="00DA3866" w:rsidRPr="00B54E44">
        <w:rPr>
          <w:rFonts w:ascii="Times New Roman" w:hAnsi="Times New Roman" w:cs="Times New Roman"/>
          <w:color w:val="000000" w:themeColor="text1"/>
          <w:sz w:val="24"/>
          <w:szCs w:val="24"/>
        </w:rPr>
        <w:t xml:space="preserve"> is referred to by many names: investor or investment education; economic education; financial education; savings education; pension education; personal finance employee education; workplace financial education; consumer education; consumer finance protection education; money management education; retirement savings education; and retirement education. Some financial literacy </w:t>
      </w:r>
      <w:r w:rsidR="00BF2019">
        <w:rPr>
          <w:rFonts w:ascii="Times New Roman" w:hAnsi="Times New Roman" w:cs="Times New Roman"/>
          <w:color w:val="000000" w:themeColor="text1"/>
          <w:sz w:val="24"/>
          <w:szCs w:val="24"/>
        </w:rPr>
        <w:t xml:space="preserve">programs </w:t>
      </w:r>
      <w:r w:rsidR="00DA3866" w:rsidRPr="00B54E44">
        <w:rPr>
          <w:rFonts w:ascii="Times New Roman" w:hAnsi="Times New Roman" w:cs="Times New Roman"/>
          <w:color w:val="000000" w:themeColor="text1"/>
          <w:sz w:val="24"/>
          <w:szCs w:val="24"/>
        </w:rPr>
        <w:t>no longer describe themselves as addressing financial “literacy” and instead call themselves “financial empowerment” programs. This is because, as one program explained, “clients</w:t>
      </w:r>
      <w:r w:rsidR="00BF2019">
        <w:rPr>
          <w:rFonts w:ascii="Times New Roman" w:hAnsi="Times New Roman" w:cs="Times New Roman"/>
          <w:color w:val="000000" w:themeColor="text1"/>
          <w:sz w:val="24"/>
          <w:szCs w:val="24"/>
        </w:rPr>
        <w:t>…</w:t>
      </w:r>
      <w:r w:rsidR="00BF2019" w:rsidRPr="00B54E44">
        <w:rPr>
          <w:rFonts w:ascii="Times New Roman" w:hAnsi="Times New Roman" w:cs="Times New Roman"/>
          <w:color w:val="000000" w:themeColor="text1"/>
          <w:sz w:val="24"/>
          <w:szCs w:val="24"/>
        </w:rPr>
        <w:t xml:space="preserve"> </w:t>
      </w:r>
      <w:r w:rsidR="00DA3866" w:rsidRPr="00B54E44">
        <w:rPr>
          <w:rFonts w:ascii="Times New Roman" w:hAnsi="Times New Roman" w:cs="Times New Roman"/>
          <w:color w:val="000000" w:themeColor="text1"/>
          <w:sz w:val="24"/>
          <w:szCs w:val="24"/>
        </w:rPr>
        <w:t>felt that the term ‘financial literacy’ implied that they were lacking in some way, but that ‘financial empowerment’ implied the more positive image of taking charge of one’s life.”</w:t>
      </w:r>
      <w:r w:rsidRPr="00B54E44">
        <w:rPr>
          <w:rFonts w:ascii="Times New Roman" w:hAnsi="Times New Roman" w:cs="Times New Roman"/>
          <w:color w:val="000000" w:themeColor="text1"/>
          <w:sz w:val="24"/>
          <w:szCs w:val="24"/>
        </w:rPr>
        <w:t xml:space="preserve"> </w:t>
      </w:r>
      <w:r w:rsidR="00BF2019">
        <w:rPr>
          <w:rFonts w:ascii="Times New Roman" w:hAnsi="Times New Roman" w:cs="Times New Roman"/>
          <w:color w:val="000000" w:themeColor="text1"/>
          <w:sz w:val="24"/>
          <w:szCs w:val="24"/>
        </w:rPr>
        <w:t>Still, t</w:t>
      </w:r>
      <w:r w:rsidRPr="00B54E44">
        <w:rPr>
          <w:rFonts w:ascii="Times New Roman" w:hAnsi="Times New Roman" w:cs="Times New Roman"/>
          <w:color w:val="000000" w:themeColor="text1"/>
          <w:sz w:val="24"/>
          <w:szCs w:val="24"/>
        </w:rPr>
        <w:t xml:space="preserve">hese terms can be used interchangeably. </w:t>
      </w:r>
      <w:r w:rsidR="009A4565" w:rsidRPr="009A4565">
        <w:rPr>
          <w:rFonts w:ascii="Times New Roman" w:hAnsi="Times New Roman" w:cs="Times New Roman"/>
          <w:color w:val="000000" w:themeColor="text1"/>
          <w:sz w:val="24"/>
          <w:szCs w:val="24"/>
        </w:rPr>
        <w:t xml:space="preserve">Despite </w:t>
      </w:r>
      <w:r w:rsidR="00BF2019">
        <w:rPr>
          <w:rFonts w:ascii="Times New Roman" w:hAnsi="Times New Roman" w:cs="Times New Roman"/>
          <w:color w:val="000000" w:themeColor="text1"/>
          <w:sz w:val="24"/>
          <w:szCs w:val="24"/>
        </w:rPr>
        <w:t>the various terms</w:t>
      </w:r>
      <w:r w:rsidR="009A4565" w:rsidRPr="009A4565">
        <w:rPr>
          <w:rFonts w:ascii="Times New Roman" w:hAnsi="Times New Roman" w:cs="Times New Roman"/>
          <w:color w:val="000000" w:themeColor="text1"/>
          <w:sz w:val="24"/>
          <w:szCs w:val="24"/>
        </w:rPr>
        <w:t xml:space="preserve">, the goal of </w:t>
      </w:r>
      <w:r w:rsidR="00750604">
        <w:rPr>
          <w:rFonts w:ascii="Times New Roman" w:hAnsi="Times New Roman" w:cs="Times New Roman"/>
          <w:color w:val="000000" w:themeColor="text1"/>
          <w:sz w:val="24"/>
          <w:szCs w:val="24"/>
        </w:rPr>
        <w:t xml:space="preserve"> “financial literacy”</w:t>
      </w:r>
      <w:r w:rsidR="009A4565" w:rsidRPr="009A4565">
        <w:rPr>
          <w:rFonts w:ascii="Times New Roman" w:hAnsi="Times New Roman" w:cs="Times New Roman"/>
          <w:color w:val="000000" w:themeColor="text1"/>
          <w:sz w:val="24"/>
          <w:szCs w:val="24"/>
        </w:rPr>
        <w:t xml:space="preserve"> </w:t>
      </w:r>
      <w:r w:rsidR="009A4565" w:rsidRPr="009A4565">
        <w:rPr>
          <w:rFonts w:ascii="Times New Roman" w:hAnsi="Times New Roman" w:cs="Times New Roman"/>
          <w:sz w:val="24"/>
          <w:szCs w:val="24"/>
        </w:rPr>
        <w:t>is to educate and inform consumers so that they can make appropriate decisions in managing their money, assets and liabilities – be that in a business or personal capacity.</w:t>
      </w:r>
    </w:p>
    <w:p w14:paraId="425ABCDF" w14:textId="77777777" w:rsidR="0090450B" w:rsidRPr="00B54E44" w:rsidRDefault="00750604" w:rsidP="00B54E44">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The</w:t>
      </w:r>
      <w:r w:rsidR="004071C5">
        <w:rPr>
          <w:rFonts w:ascii="Times New Roman" w:hAnsi="Times New Roman" w:cs="Times New Roman"/>
          <w:sz w:val="24"/>
          <w:szCs w:val="24"/>
        </w:rPr>
        <w:t xml:space="preserve"> OECD</w:t>
      </w:r>
      <w:r>
        <w:rPr>
          <w:rFonts w:ascii="Times New Roman" w:hAnsi="Times New Roman" w:cs="Times New Roman"/>
          <w:sz w:val="24"/>
          <w:szCs w:val="24"/>
        </w:rPr>
        <w:t xml:space="preserve"> defines financial literacy as</w:t>
      </w:r>
      <w:r w:rsidR="004071C5">
        <w:rPr>
          <w:rFonts w:ascii="Times New Roman" w:hAnsi="Times New Roman" w:cs="Times New Roman"/>
          <w:sz w:val="24"/>
          <w:szCs w:val="24"/>
        </w:rPr>
        <w:t xml:space="preserve">:  </w:t>
      </w:r>
    </w:p>
    <w:p w14:paraId="425ABCE0" w14:textId="77777777" w:rsidR="0090450B" w:rsidRPr="00B54E44" w:rsidRDefault="0090450B" w:rsidP="00B54E44">
      <w:pPr>
        <w:spacing w:before="240" w:after="240" w:line="240" w:lineRule="auto"/>
        <w:ind w:left="720" w:right="720"/>
        <w:jc w:val="both"/>
        <w:rPr>
          <w:rFonts w:ascii="Times New Roman" w:hAnsi="Times New Roman" w:cs="Times New Roman"/>
          <w:i/>
          <w:iCs/>
          <w:sz w:val="24"/>
          <w:szCs w:val="24"/>
        </w:rPr>
      </w:pPr>
      <w:r w:rsidRPr="00B54E44">
        <w:rPr>
          <w:rFonts w:ascii="Times New Roman" w:hAnsi="Times New Roman" w:cs="Times New Roman"/>
          <w:i/>
          <w:iCs/>
          <w:sz w:val="24"/>
          <w:szCs w:val="24"/>
        </w:rPr>
        <w:t>The process by which financial consumers/investors improve their understanding of financial products, concepts and risks and, through information, instruction and/or objective advice, develop the skills and confidence to become more aware of financial risks and opportunities, to make informed choices, to know where to go for help, and to take other effective actions to improve their financial well-being.</w:t>
      </w:r>
    </w:p>
    <w:p w14:paraId="425ABCE1" w14:textId="77777777" w:rsidR="00F57D8E" w:rsidRPr="00B405A3" w:rsidRDefault="00F57D8E" w:rsidP="002B3FB6">
      <w:pPr>
        <w:spacing w:before="240" w:after="240" w:line="240" w:lineRule="auto"/>
        <w:jc w:val="both"/>
        <w:rPr>
          <w:rFonts w:ascii="Times New Roman" w:hAnsi="Times New Roman" w:cs="Times New Roman"/>
          <w:sz w:val="24"/>
          <w:szCs w:val="24"/>
        </w:rPr>
      </w:pPr>
      <w:r w:rsidRPr="00BD4034">
        <w:rPr>
          <w:rFonts w:ascii="Times New Roman" w:hAnsi="Times New Roman" w:cs="Times New Roman"/>
          <w:sz w:val="24"/>
          <w:szCs w:val="24"/>
        </w:rPr>
        <w:t>Financial literacy matters at many levels. For individuals and families, the benefits of financial literacy – which using shorthand we can describe as ‘being good with money’ – are well understood. The financially astute recognize the wisdom of sound financial planning from an early age and, by doing so, improve their chances of achieving their financial goals. These goals commonly include the purchase of a family home – usually by combining savings and a sensible amount of mortgage debt. For the financial system, it has much to do with the prudent management of risk by financial institutions, particularly credit risk – which is the risk of financial loss arising from the default of customers and counterparties. Of course, credit loss can never be eliminated completely, but good systems and controls can certainly help contain it. Nonetheless, history tells us that financial institutions are quite myopic in their lending behavior – they will tend to be quite liberal with credit when the economic times are good, only to repent of their generosity and tighten lending standards when times turn bad. This ‘procyclicality’ in lending behavior can spell danger for over-leveraged borrowers and, by extension, for the financial institutions themselves, especially if the economic downturn is sharp or prolonged. In a financially educated society, however, borrowers will be less likely to take on more debt just because credit is cheap and freely available. As a result, they will have a far better chance of riding out an economic downturn without defaulting on their debt repayments – which, in turn, will help minimize the bad debt experience of financial institutions and, by doing so, help bolster the stability of the financial system.</w:t>
      </w:r>
      <w:r w:rsidR="00B54E44" w:rsidRPr="00BD4034">
        <w:rPr>
          <w:rFonts w:ascii="Times New Roman" w:hAnsi="Times New Roman" w:cs="Times New Roman"/>
          <w:sz w:val="24"/>
          <w:szCs w:val="24"/>
        </w:rPr>
        <w:t xml:space="preserve"> In term of economy, that financial education can help safeguard against some of the risks that inevitably attach to financial innovation.</w:t>
      </w:r>
    </w:p>
    <w:p w14:paraId="425ABCE2" w14:textId="77777777" w:rsidR="0090450B" w:rsidRPr="002B3FB6" w:rsidRDefault="0090450B" w:rsidP="002B3FB6">
      <w:pPr>
        <w:pStyle w:val="Heading1"/>
        <w:numPr>
          <w:ilvl w:val="0"/>
          <w:numId w:val="1"/>
        </w:numPr>
        <w:spacing w:after="240" w:line="240" w:lineRule="auto"/>
        <w:ind w:left="360" w:hanging="360"/>
        <w:rPr>
          <w:rFonts w:ascii="Times New Roman" w:hAnsi="Times New Roman" w:cs="Times New Roman"/>
          <w:b/>
          <w:bCs/>
          <w:color w:val="000000" w:themeColor="text1"/>
          <w:sz w:val="24"/>
          <w:szCs w:val="24"/>
        </w:rPr>
      </w:pPr>
      <w:r w:rsidRPr="004310A9">
        <w:rPr>
          <w:rFonts w:ascii="Times New Roman" w:hAnsi="Times New Roman" w:cs="Times New Roman"/>
          <w:b/>
          <w:bCs/>
          <w:color w:val="000000" w:themeColor="text1"/>
          <w:sz w:val="24"/>
          <w:szCs w:val="24"/>
        </w:rPr>
        <w:lastRenderedPageBreak/>
        <w:t>Financial Literacy and SMEs</w:t>
      </w:r>
    </w:p>
    <w:p w14:paraId="425ABCE3" w14:textId="77777777" w:rsidR="002C7941" w:rsidRPr="002C7941" w:rsidRDefault="002C7941" w:rsidP="002C7941">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2C7941">
        <w:rPr>
          <w:rFonts w:ascii="Times New Roman" w:hAnsi="Times New Roman" w:cs="Times New Roman"/>
          <w:sz w:val="24"/>
          <w:szCs w:val="24"/>
        </w:rPr>
        <w:t>he United States Agency for International Development</w:t>
      </w:r>
      <w:r>
        <w:rPr>
          <w:rFonts w:ascii="Times New Roman" w:hAnsi="Times New Roman" w:cs="Times New Roman"/>
          <w:sz w:val="24"/>
          <w:szCs w:val="24"/>
        </w:rPr>
        <w:t xml:space="preserve"> d</w:t>
      </w:r>
      <w:r w:rsidRPr="002C7941">
        <w:rPr>
          <w:rFonts w:ascii="Times New Roman" w:hAnsi="Times New Roman" w:cs="Times New Roman"/>
          <w:sz w:val="24"/>
          <w:szCs w:val="24"/>
        </w:rPr>
        <w:t xml:space="preserve">efines financial literacy </w:t>
      </w:r>
      <w:r>
        <w:rPr>
          <w:rFonts w:ascii="Times New Roman" w:hAnsi="Times New Roman" w:cs="Times New Roman"/>
          <w:sz w:val="24"/>
          <w:szCs w:val="24"/>
        </w:rPr>
        <w:t xml:space="preserve">for SMEs </w:t>
      </w:r>
      <w:r w:rsidRPr="002C7941">
        <w:rPr>
          <w:rFonts w:ascii="Times New Roman" w:hAnsi="Times New Roman" w:cs="Times New Roman"/>
          <w:sz w:val="24"/>
          <w:szCs w:val="24"/>
        </w:rPr>
        <w:t>as</w:t>
      </w:r>
      <w:r w:rsidR="00750604">
        <w:rPr>
          <w:rFonts w:ascii="Times New Roman" w:hAnsi="Times New Roman" w:cs="Times New Roman"/>
          <w:sz w:val="24"/>
          <w:szCs w:val="24"/>
        </w:rPr>
        <w:t>:</w:t>
      </w:r>
    </w:p>
    <w:p w14:paraId="425ABCE4" w14:textId="77777777" w:rsidR="002C7941" w:rsidRPr="002C7941" w:rsidRDefault="002C7941" w:rsidP="002C7941">
      <w:pPr>
        <w:spacing w:before="240" w:after="240" w:line="240" w:lineRule="auto"/>
        <w:ind w:left="720" w:right="720"/>
        <w:jc w:val="both"/>
        <w:rPr>
          <w:rFonts w:ascii="Times New Roman" w:hAnsi="Times New Roman" w:cs="Times New Roman"/>
          <w:i/>
          <w:iCs/>
          <w:sz w:val="24"/>
          <w:szCs w:val="24"/>
        </w:rPr>
      </w:pPr>
      <w:r w:rsidRPr="002C7941">
        <w:rPr>
          <w:rFonts w:ascii="Times New Roman" w:hAnsi="Times New Roman" w:cs="Times New Roman"/>
          <w:i/>
          <w:iCs/>
          <w:sz w:val="24"/>
          <w:szCs w:val="24"/>
        </w:rPr>
        <w:t>A financially literate SME owner/manager knows what are the most suitable financing and financial management options for hi/hers business at the various growth stages of the business; s/he knows where to obtain the most suitable products and services; and s/he interacts with confidence with the suppliers of these products and services. S/he is familiar with the legal and regulatory framework and hi/hers rights and recourse.</w:t>
      </w:r>
    </w:p>
    <w:p w14:paraId="425ABCE5" w14:textId="77777777" w:rsidR="0013783E" w:rsidRPr="0013783E" w:rsidRDefault="0013783E" w:rsidP="002B3FB6">
      <w:pPr>
        <w:spacing w:before="240" w:after="240" w:line="240" w:lineRule="auto"/>
        <w:jc w:val="both"/>
        <w:rPr>
          <w:rFonts w:ascii="Times New Roman" w:hAnsi="Times New Roman" w:cs="Times New Roman"/>
          <w:sz w:val="24"/>
          <w:szCs w:val="24"/>
        </w:rPr>
      </w:pPr>
      <w:r w:rsidRPr="0013783E">
        <w:rPr>
          <w:rFonts w:ascii="Times New Roman" w:hAnsi="Times New Roman" w:cs="Times New Roman"/>
          <w:sz w:val="24"/>
          <w:szCs w:val="24"/>
        </w:rPr>
        <w:t>Financial knowledge would affect in increase firm total sources of financing (</w:t>
      </w:r>
      <w:proofErr w:type="spellStart"/>
      <w:r w:rsidRPr="0013783E">
        <w:rPr>
          <w:rFonts w:ascii="Times New Roman" w:hAnsi="Times New Roman" w:cs="Times New Roman"/>
          <w:sz w:val="24"/>
          <w:szCs w:val="24"/>
        </w:rPr>
        <w:t>Marcolin</w:t>
      </w:r>
      <w:proofErr w:type="spellEnd"/>
      <w:r w:rsidRPr="0013783E">
        <w:rPr>
          <w:rFonts w:ascii="Times New Roman" w:hAnsi="Times New Roman" w:cs="Times New Roman"/>
          <w:sz w:val="24"/>
          <w:szCs w:val="24"/>
        </w:rPr>
        <w:t xml:space="preserve"> &amp; Abraham, 2006). Moore (2003) elucidated that literacy or knowledge is gained via practical experience and active integration of knowledge. In other words, people will become more sophisticated in terms of finance when they are more literate. Likewise, another researcher, emphasized that an individual or organization who had financial literacy, knowledge and ability to put to use this knowledge, may not show the assume behavior or enhance his or her financial well-being as a result of other influences such as cognitive and behavior that is biased, self-control problems, family, peers, economic and institutional conditions that may affect the financial habits and financial well-being (Huston, 2010). However, there is no established instrument applied to measure financial literacy and that financial literacy cannot be measured directly.</w:t>
      </w:r>
    </w:p>
    <w:p w14:paraId="425ABCE6" w14:textId="77777777" w:rsidR="00C47B65" w:rsidRPr="00C47B65" w:rsidRDefault="00C47B65" w:rsidP="002B3FB6">
      <w:pPr>
        <w:spacing w:before="240" w:after="240" w:line="240" w:lineRule="auto"/>
        <w:jc w:val="both"/>
        <w:rPr>
          <w:rFonts w:ascii="Times New Roman" w:hAnsi="Times New Roman" w:cs="Times New Roman"/>
          <w:sz w:val="24"/>
          <w:szCs w:val="24"/>
        </w:rPr>
      </w:pPr>
      <w:r w:rsidRPr="00C47B65">
        <w:rPr>
          <w:rFonts w:ascii="Times New Roman" w:hAnsi="Times New Roman" w:cs="Times New Roman"/>
          <w:sz w:val="24"/>
          <w:szCs w:val="24"/>
        </w:rPr>
        <w:t xml:space="preserve">Growth in </w:t>
      </w:r>
      <w:r>
        <w:rPr>
          <w:rFonts w:ascii="Times New Roman" w:hAnsi="Times New Roman" w:cs="Times New Roman"/>
          <w:sz w:val="24"/>
          <w:szCs w:val="24"/>
        </w:rPr>
        <w:t xml:space="preserve">financial </w:t>
      </w:r>
      <w:r w:rsidRPr="00C47B65">
        <w:rPr>
          <w:rFonts w:ascii="Times New Roman" w:hAnsi="Times New Roman" w:cs="Times New Roman"/>
          <w:sz w:val="24"/>
          <w:szCs w:val="24"/>
        </w:rPr>
        <w:t xml:space="preserve">knowledge increases the confidence of the economic agent. Parker, </w:t>
      </w:r>
      <w:proofErr w:type="spellStart"/>
      <w:r w:rsidRPr="00C47B65">
        <w:rPr>
          <w:rFonts w:ascii="Times New Roman" w:hAnsi="Times New Roman" w:cs="Times New Roman"/>
          <w:sz w:val="24"/>
          <w:szCs w:val="24"/>
        </w:rPr>
        <w:t>Yoong</w:t>
      </w:r>
      <w:proofErr w:type="spellEnd"/>
      <w:r w:rsidRPr="00C47B65">
        <w:rPr>
          <w:rFonts w:ascii="Times New Roman" w:hAnsi="Times New Roman" w:cs="Times New Roman"/>
          <w:sz w:val="24"/>
          <w:szCs w:val="24"/>
        </w:rPr>
        <w:t xml:space="preserve">, </w:t>
      </w:r>
      <w:proofErr w:type="spellStart"/>
      <w:r w:rsidRPr="00C47B65">
        <w:rPr>
          <w:rFonts w:ascii="Times New Roman" w:hAnsi="Times New Roman" w:cs="Times New Roman"/>
          <w:sz w:val="24"/>
          <w:szCs w:val="24"/>
        </w:rPr>
        <w:t>Bruine</w:t>
      </w:r>
      <w:proofErr w:type="spellEnd"/>
      <w:r w:rsidRPr="00C47B65">
        <w:rPr>
          <w:rFonts w:ascii="Times New Roman" w:hAnsi="Times New Roman" w:cs="Times New Roman"/>
          <w:sz w:val="24"/>
          <w:szCs w:val="24"/>
        </w:rPr>
        <w:t xml:space="preserve"> de Bruin, and Willis (2008) found that confidence in knowledge predicts self-reported retirement planning and savings. On the third level we see that financial knowledge, skills and confidence culminate into financial behavior (e.g., operating saving account and utilizing microcredit facility). We also see that the experience gained through financial behavior feeds back to financial literacy through improvement in knowledge, skills and confidence. Downwards on the framework, we reason that as firms and individuals participate in the financial market and continue to utilize financial services, they create the opportunity for further business transaction with the financial institution which increases access to finance by SMEs. Moreover, SMEs can benefit from business advisory services once they operate savings account or utilizes loan facilities with financial institutions. This may include proper bookkeeping etc. Besides, as SMEs and financial institutions continue to relate, it provides an opportunity for both to know more about the operations of each partner. This knowledge will help SMEs to explore all the benefits from the financial institution which will consequently build up healthy SME. </w:t>
      </w:r>
    </w:p>
    <w:p w14:paraId="425ABCE7" w14:textId="77777777" w:rsidR="0090450B" w:rsidRPr="00B405A3" w:rsidRDefault="0013783E" w:rsidP="002B3FB6">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enhance </w:t>
      </w:r>
      <w:r w:rsidR="00C47B65">
        <w:rPr>
          <w:rFonts w:ascii="Times New Roman" w:hAnsi="Times New Roman" w:cs="Times New Roman"/>
          <w:sz w:val="24"/>
          <w:szCs w:val="24"/>
        </w:rPr>
        <w:t>financial literacy</w:t>
      </w:r>
      <w:r>
        <w:rPr>
          <w:rFonts w:ascii="Times New Roman" w:hAnsi="Times New Roman" w:cs="Times New Roman"/>
          <w:sz w:val="24"/>
          <w:szCs w:val="24"/>
        </w:rPr>
        <w:t xml:space="preserve"> program</w:t>
      </w:r>
      <w:r w:rsidR="00C47B65">
        <w:rPr>
          <w:rFonts w:ascii="Times New Roman" w:hAnsi="Times New Roman" w:cs="Times New Roman"/>
          <w:sz w:val="24"/>
          <w:szCs w:val="24"/>
        </w:rPr>
        <w:t xml:space="preserve"> among the </w:t>
      </w:r>
      <w:r w:rsidR="0090450B" w:rsidRPr="00B405A3">
        <w:rPr>
          <w:rFonts w:ascii="Times New Roman" w:hAnsi="Times New Roman" w:cs="Times New Roman"/>
          <w:sz w:val="24"/>
          <w:szCs w:val="24"/>
        </w:rPr>
        <w:t>SMEs</w:t>
      </w:r>
      <w:r w:rsidR="00C47B65">
        <w:rPr>
          <w:rFonts w:ascii="Times New Roman" w:hAnsi="Times New Roman" w:cs="Times New Roman"/>
          <w:sz w:val="24"/>
          <w:szCs w:val="24"/>
        </w:rPr>
        <w:t>, the OECD</w:t>
      </w:r>
      <w:r>
        <w:rPr>
          <w:rFonts w:ascii="Times New Roman" w:hAnsi="Times New Roman" w:cs="Times New Roman"/>
          <w:sz w:val="24"/>
          <w:szCs w:val="24"/>
        </w:rPr>
        <w:t xml:space="preserve"> has</w:t>
      </w:r>
      <w:r w:rsidR="00C47B65">
        <w:rPr>
          <w:rFonts w:ascii="Times New Roman" w:hAnsi="Times New Roman" w:cs="Times New Roman"/>
          <w:sz w:val="24"/>
          <w:szCs w:val="24"/>
        </w:rPr>
        <w:t xml:space="preserve"> identified the</w:t>
      </w:r>
      <w:r>
        <w:rPr>
          <w:rFonts w:ascii="Times New Roman" w:hAnsi="Times New Roman" w:cs="Times New Roman"/>
          <w:sz w:val="24"/>
          <w:szCs w:val="24"/>
        </w:rPr>
        <w:t xml:space="preserve"> crucial information that the SMEs sector need to enhance for their financial literacy, the information are including (</w:t>
      </w:r>
      <w:r w:rsidRPr="0013783E">
        <w:rPr>
          <w:rFonts w:ascii="Times New Roman" w:eastAsia="Calibri" w:hAnsi="Times New Roman" w:cs="Times New Roman"/>
          <w:sz w:val="24"/>
          <w:szCs w:val="24"/>
        </w:rPr>
        <w:t>Financial Literacy and SMEs in APEC</w:t>
      </w:r>
      <w:r>
        <w:rPr>
          <w:rFonts w:ascii="Times New Roman" w:hAnsi="Times New Roman" w:cs="Times New Roman"/>
          <w:sz w:val="24"/>
          <w:szCs w:val="24"/>
        </w:rPr>
        <w:t xml:space="preserve">, 2014): </w:t>
      </w:r>
      <w:r w:rsidR="00C47B65">
        <w:rPr>
          <w:rFonts w:ascii="Times New Roman" w:hAnsi="Times New Roman" w:cs="Times New Roman"/>
          <w:sz w:val="24"/>
          <w:szCs w:val="24"/>
        </w:rPr>
        <w:t xml:space="preserve"> </w:t>
      </w:r>
    </w:p>
    <w:p w14:paraId="425ABCE8" w14:textId="77777777" w:rsidR="0090450B" w:rsidRPr="00B405A3" w:rsidRDefault="0090450B" w:rsidP="002B3FB6">
      <w:pPr>
        <w:numPr>
          <w:ilvl w:val="0"/>
          <w:numId w:val="4"/>
        </w:numPr>
        <w:spacing w:before="240" w:after="240" w:line="240" w:lineRule="auto"/>
        <w:contextualSpacing/>
        <w:jc w:val="both"/>
        <w:rPr>
          <w:rFonts w:ascii="Times New Roman" w:hAnsi="Times New Roman" w:cs="Times New Roman"/>
          <w:sz w:val="24"/>
          <w:szCs w:val="24"/>
        </w:rPr>
      </w:pPr>
      <w:r w:rsidRPr="00B405A3">
        <w:rPr>
          <w:rFonts w:ascii="Times New Roman" w:hAnsi="Times New Roman" w:cs="Times New Roman"/>
          <w:sz w:val="24"/>
          <w:szCs w:val="24"/>
        </w:rPr>
        <w:t>Types of funding and credit products</w:t>
      </w:r>
    </w:p>
    <w:p w14:paraId="425ABCE9" w14:textId="77777777" w:rsidR="0090450B" w:rsidRPr="00B405A3" w:rsidRDefault="0090450B" w:rsidP="002B3FB6">
      <w:pPr>
        <w:numPr>
          <w:ilvl w:val="0"/>
          <w:numId w:val="4"/>
        </w:numPr>
        <w:spacing w:before="240" w:after="240" w:line="240" w:lineRule="auto"/>
        <w:contextualSpacing/>
        <w:jc w:val="both"/>
        <w:rPr>
          <w:rFonts w:ascii="Times New Roman" w:hAnsi="Times New Roman" w:cs="Times New Roman"/>
          <w:sz w:val="24"/>
          <w:szCs w:val="24"/>
        </w:rPr>
      </w:pPr>
      <w:r w:rsidRPr="00B405A3">
        <w:rPr>
          <w:rFonts w:ascii="Times New Roman" w:hAnsi="Times New Roman" w:cs="Times New Roman"/>
          <w:sz w:val="24"/>
          <w:szCs w:val="24"/>
        </w:rPr>
        <w:t>Sources of funding, and in particular sources of funding for start-up capital</w:t>
      </w:r>
    </w:p>
    <w:p w14:paraId="425ABCEA" w14:textId="77777777" w:rsidR="0090450B" w:rsidRPr="00B405A3" w:rsidRDefault="0090450B" w:rsidP="002B3FB6">
      <w:pPr>
        <w:numPr>
          <w:ilvl w:val="0"/>
          <w:numId w:val="4"/>
        </w:numPr>
        <w:spacing w:before="240" w:after="240" w:line="240" w:lineRule="auto"/>
        <w:contextualSpacing/>
        <w:jc w:val="both"/>
        <w:rPr>
          <w:rFonts w:ascii="Times New Roman" w:hAnsi="Times New Roman" w:cs="Times New Roman"/>
          <w:sz w:val="24"/>
          <w:szCs w:val="24"/>
        </w:rPr>
      </w:pPr>
      <w:r w:rsidRPr="00B405A3">
        <w:rPr>
          <w:rFonts w:ascii="Times New Roman" w:hAnsi="Times New Roman" w:cs="Times New Roman"/>
          <w:sz w:val="24"/>
          <w:szCs w:val="24"/>
        </w:rPr>
        <w:t>Requirements from financial institutions to access products and services</w:t>
      </w:r>
    </w:p>
    <w:p w14:paraId="425ABCEB" w14:textId="77777777" w:rsidR="0090450B" w:rsidRPr="00B405A3" w:rsidRDefault="0090450B" w:rsidP="002B3FB6">
      <w:pPr>
        <w:numPr>
          <w:ilvl w:val="0"/>
          <w:numId w:val="4"/>
        </w:numPr>
        <w:spacing w:before="240" w:after="240" w:line="240" w:lineRule="auto"/>
        <w:contextualSpacing/>
        <w:jc w:val="both"/>
        <w:rPr>
          <w:rFonts w:ascii="Times New Roman" w:hAnsi="Times New Roman" w:cs="Times New Roman"/>
          <w:sz w:val="24"/>
          <w:szCs w:val="24"/>
        </w:rPr>
      </w:pPr>
      <w:r w:rsidRPr="00B405A3">
        <w:rPr>
          <w:rFonts w:ascii="Times New Roman" w:hAnsi="Times New Roman" w:cs="Times New Roman"/>
          <w:sz w:val="24"/>
          <w:szCs w:val="24"/>
        </w:rPr>
        <w:lastRenderedPageBreak/>
        <w:t>Other types of financial products, such as savings options for businesses (e.g. money market for business), transactional products (e.g. business credit cards, CFC accounts for international trade); leasing; and commercial property</w:t>
      </w:r>
    </w:p>
    <w:p w14:paraId="425ABCEC" w14:textId="77777777" w:rsidR="0090450B" w:rsidRPr="00B405A3" w:rsidRDefault="0090450B" w:rsidP="002B3FB6">
      <w:pPr>
        <w:numPr>
          <w:ilvl w:val="0"/>
          <w:numId w:val="4"/>
        </w:numPr>
        <w:spacing w:before="240" w:after="240" w:line="240" w:lineRule="auto"/>
        <w:contextualSpacing/>
        <w:jc w:val="both"/>
        <w:rPr>
          <w:rFonts w:ascii="Times New Roman" w:hAnsi="Times New Roman" w:cs="Times New Roman"/>
          <w:sz w:val="24"/>
          <w:szCs w:val="24"/>
        </w:rPr>
      </w:pPr>
      <w:r w:rsidRPr="00B405A3">
        <w:rPr>
          <w:rFonts w:ascii="Times New Roman" w:hAnsi="Times New Roman" w:cs="Times New Roman"/>
          <w:sz w:val="24"/>
          <w:szCs w:val="24"/>
        </w:rPr>
        <w:t>Risk management, including insuring stock and business premises, and assuring the life of the SME owner/manager</w:t>
      </w:r>
    </w:p>
    <w:p w14:paraId="425ABCED" w14:textId="77777777" w:rsidR="0090450B" w:rsidRPr="0013783E" w:rsidRDefault="0090450B" w:rsidP="002B3FB6">
      <w:pPr>
        <w:numPr>
          <w:ilvl w:val="0"/>
          <w:numId w:val="4"/>
        </w:numPr>
        <w:spacing w:before="240" w:after="240" w:line="240" w:lineRule="auto"/>
        <w:jc w:val="both"/>
        <w:rPr>
          <w:rFonts w:ascii="Times New Roman" w:hAnsi="Times New Roman" w:cs="Times New Roman"/>
          <w:sz w:val="24"/>
          <w:szCs w:val="24"/>
        </w:rPr>
      </w:pPr>
      <w:r w:rsidRPr="00B405A3">
        <w:rPr>
          <w:rFonts w:ascii="Times New Roman" w:hAnsi="Times New Roman" w:cs="Times New Roman"/>
          <w:sz w:val="24"/>
          <w:szCs w:val="24"/>
        </w:rPr>
        <w:t xml:space="preserve">Formalizing a business (different legal structures, pros and cons, how to go about it), and the impact on financing options </w:t>
      </w:r>
    </w:p>
    <w:p w14:paraId="425ABCEE" w14:textId="77777777" w:rsidR="0090450B" w:rsidRPr="002B3FB6" w:rsidRDefault="0090450B" w:rsidP="002B3FB6">
      <w:pPr>
        <w:pStyle w:val="Heading1"/>
        <w:numPr>
          <w:ilvl w:val="0"/>
          <w:numId w:val="1"/>
        </w:numPr>
        <w:spacing w:after="240" w:line="240" w:lineRule="auto"/>
        <w:ind w:left="360" w:hanging="360"/>
        <w:rPr>
          <w:rFonts w:ascii="Times New Roman" w:hAnsi="Times New Roman" w:cs="Times New Roman"/>
          <w:b/>
          <w:bCs/>
          <w:color w:val="000000" w:themeColor="text1"/>
          <w:sz w:val="24"/>
          <w:szCs w:val="24"/>
        </w:rPr>
      </w:pPr>
      <w:r w:rsidRPr="004310A9">
        <w:rPr>
          <w:rFonts w:ascii="Times New Roman" w:hAnsi="Times New Roman" w:cs="Times New Roman"/>
          <w:b/>
          <w:bCs/>
          <w:color w:val="000000" w:themeColor="text1"/>
          <w:sz w:val="24"/>
          <w:szCs w:val="24"/>
        </w:rPr>
        <w:t>Financial Literacy in APEC</w:t>
      </w:r>
    </w:p>
    <w:p w14:paraId="425ABCEF" w14:textId="5F65F39D" w:rsidR="0013783E" w:rsidRDefault="009A4565" w:rsidP="002B3FB6">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APEC, the </w:t>
      </w:r>
      <w:r w:rsidRPr="009A4565">
        <w:rPr>
          <w:rFonts w:ascii="Times New Roman" w:hAnsi="Times New Roman" w:cs="Times New Roman"/>
          <w:sz w:val="24"/>
          <w:szCs w:val="24"/>
        </w:rPr>
        <w:t>SME</w:t>
      </w:r>
      <w:r>
        <w:rPr>
          <w:rFonts w:ascii="Times New Roman" w:hAnsi="Times New Roman" w:cs="Times New Roman"/>
          <w:sz w:val="24"/>
          <w:szCs w:val="24"/>
        </w:rPr>
        <w:t xml:space="preserve"> sector</w:t>
      </w:r>
      <w:r w:rsidRPr="009A4565">
        <w:rPr>
          <w:rFonts w:ascii="Times New Roman" w:hAnsi="Times New Roman" w:cs="Times New Roman"/>
          <w:sz w:val="24"/>
          <w:szCs w:val="24"/>
        </w:rPr>
        <w:t xml:space="preserve"> account</w:t>
      </w:r>
      <w:r w:rsidR="009418E5">
        <w:rPr>
          <w:rFonts w:ascii="Times New Roman" w:hAnsi="Times New Roman" w:cs="Times New Roman"/>
          <w:sz w:val="24"/>
          <w:szCs w:val="24"/>
        </w:rPr>
        <w:t>s</w:t>
      </w:r>
      <w:r w:rsidRPr="009A4565">
        <w:rPr>
          <w:rFonts w:ascii="Times New Roman" w:hAnsi="Times New Roman" w:cs="Times New Roman"/>
          <w:sz w:val="24"/>
          <w:szCs w:val="24"/>
        </w:rPr>
        <w:t xml:space="preserve"> for over 97 per cent of all enterprises</w:t>
      </w:r>
      <w:r>
        <w:rPr>
          <w:rFonts w:ascii="Times New Roman" w:hAnsi="Times New Roman" w:cs="Times New Roman"/>
          <w:sz w:val="24"/>
          <w:szCs w:val="24"/>
        </w:rPr>
        <w:t xml:space="preserve">. It has absorbed </w:t>
      </w:r>
      <w:r w:rsidRPr="009A4565">
        <w:rPr>
          <w:rFonts w:ascii="Times New Roman" w:hAnsi="Times New Roman" w:cs="Times New Roman"/>
          <w:sz w:val="24"/>
          <w:szCs w:val="24"/>
        </w:rPr>
        <w:t>over half of the w</w:t>
      </w:r>
      <w:r>
        <w:rPr>
          <w:rFonts w:ascii="Times New Roman" w:hAnsi="Times New Roman" w:cs="Times New Roman"/>
          <w:sz w:val="24"/>
          <w:szCs w:val="24"/>
        </w:rPr>
        <w:t xml:space="preserve">orkforce across APEC economies and is the main driver </w:t>
      </w:r>
      <w:r w:rsidR="009418E5">
        <w:rPr>
          <w:rFonts w:ascii="Times New Roman" w:hAnsi="Times New Roman" w:cs="Times New Roman"/>
          <w:sz w:val="24"/>
          <w:szCs w:val="24"/>
        </w:rPr>
        <w:t xml:space="preserve">of </w:t>
      </w:r>
      <w:r>
        <w:rPr>
          <w:rFonts w:ascii="Times New Roman" w:hAnsi="Times New Roman" w:cs="Times New Roman"/>
          <w:sz w:val="24"/>
          <w:szCs w:val="24"/>
        </w:rPr>
        <w:t>economic growth</w:t>
      </w:r>
      <w:r w:rsidR="009418E5">
        <w:rPr>
          <w:rFonts w:ascii="Times New Roman" w:hAnsi="Times New Roman" w:cs="Times New Roman"/>
          <w:sz w:val="24"/>
          <w:szCs w:val="24"/>
        </w:rPr>
        <w:t xml:space="preserve"> </w:t>
      </w:r>
      <w:r>
        <w:rPr>
          <w:rFonts w:ascii="Times New Roman" w:hAnsi="Times New Roman" w:cs="Times New Roman"/>
          <w:sz w:val="24"/>
          <w:szCs w:val="24"/>
        </w:rPr>
        <w:t>-- the</w:t>
      </w:r>
      <w:r w:rsidRPr="009A4565">
        <w:rPr>
          <w:rFonts w:ascii="Times New Roman" w:hAnsi="Times New Roman" w:cs="Times New Roman"/>
          <w:sz w:val="24"/>
          <w:szCs w:val="24"/>
        </w:rPr>
        <w:t xml:space="preserve"> share of GDP </w:t>
      </w:r>
      <w:r>
        <w:rPr>
          <w:rFonts w:ascii="Times New Roman" w:hAnsi="Times New Roman" w:cs="Times New Roman"/>
          <w:sz w:val="24"/>
          <w:szCs w:val="24"/>
        </w:rPr>
        <w:t xml:space="preserve">from SMEs is </w:t>
      </w:r>
      <w:r w:rsidRPr="009A4565">
        <w:rPr>
          <w:rFonts w:ascii="Times New Roman" w:hAnsi="Times New Roman" w:cs="Times New Roman"/>
          <w:sz w:val="24"/>
          <w:szCs w:val="24"/>
        </w:rPr>
        <w:t>rang</w:t>
      </w:r>
      <w:r>
        <w:rPr>
          <w:rFonts w:ascii="Times New Roman" w:hAnsi="Times New Roman" w:cs="Times New Roman"/>
          <w:sz w:val="24"/>
          <w:szCs w:val="24"/>
        </w:rPr>
        <w:t>ed</w:t>
      </w:r>
      <w:r w:rsidRPr="009A4565">
        <w:rPr>
          <w:rFonts w:ascii="Times New Roman" w:hAnsi="Times New Roman" w:cs="Times New Roman"/>
          <w:sz w:val="24"/>
          <w:szCs w:val="24"/>
        </w:rPr>
        <w:t xml:space="preserve"> from 20 per cent to 50 per cent in the majority of APEC economies.</w:t>
      </w:r>
      <w:r w:rsidR="0013783E">
        <w:rPr>
          <w:rFonts w:ascii="Times New Roman" w:hAnsi="Times New Roman" w:cs="Times New Roman"/>
          <w:sz w:val="24"/>
          <w:szCs w:val="24"/>
        </w:rPr>
        <w:t xml:space="preserve"> This </w:t>
      </w:r>
      <w:r w:rsidR="009418E5">
        <w:rPr>
          <w:rFonts w:ascii="Times New Roman" w:hAnsi="Times New Roman" w:cs="Times New Roman"/>
          <w:sz w:val="24"/>
          <w:szCs w:val="24"/>
        </w:rPr>
        <w:t xml:space="preserve">data </w:t>
      </w:r>
      <w:r w:rsidR="0013783E">
        <w:rPr>
          <w:rFonts w:ascii="Times New Roman" w:hAnsi="Times New Roman" w:cs="Times New Roman"/>
          <w:sz w:val="24"/>
          <w:szCs w:val="24"/>
        </w:rPr>
        <w:t xml:space="preserve">is based on the financial literacy survey conducted in 17 </w:t>
      </w:r>
      <w:r w:rsidR="00CF5DBD">
        <w:rPr>
          <w:rFonts w:ascii="Times New Roman" w:hAnsi="Times New Roman" w:cs="Times New Roman"/>
          <w:sz w:val="24"/>
          <w:szCs w:val="24"/>
        </w:rPr>
        <w:t>econ</w:t>
      </w:r>
      <w:r w:rsidR="008C3440">
        <w:rPr>
          <w:rFonts w:ascii="Times New Roman" w:hAnsi="Times New Roman" w:cs="Times New Roman"/>
          <w:sz w:val="24"/>
          <w:szCs w:val="24"/>
        </w:rPr>
        <w:t>omies</w:t>
      </w:r>
      <w:r w:rsidR="0013783E">
        <w:rPr>
          <w:rFonts w:ascii="Times New Roman" w:hAnsi="Times New Roman" w:cs="Times New Roman"/>
          <w:sz w:val="24"/>
          <w:szCs w:val="24"/>
        </w:rPr>
        <w:t xml:space="preserve">. The survey was separated into four parts as mentioned above.  </w:t>
      </w:r>
    </w:p>
    <w:p w14:paraId="425ABCF0" w14:textId="77777777" w:rsidR="004D0599" w:rsidRPr="004D0599" w:rsidRDefault="0013783E" w:rsidP="002B3FB6">
      <w:pPr>
        <w:pStyle w:val="ListParagraph"/>
        <w:numPr>
          <w:ilvl w:val="0"/>
          <w:numId w:val="5"/>
        </w:numPr>
        <w:spacing w:before="240" w:after="240" w:line="240" w:lineRule="auto"/>
        <w:jc w:val="both"/>
        <w:rPr>
          <w:rFonts w:ascii="Times New Roman" w:hAnsi="Times New Roman" w:cs="Times New Roman"/>
          <w:b/>
          <w:bCs/>
          <w:i/>
          <w:iCs/>
          <w:sz w:val="24"/>
          <w:szCs w:val="24"/>
        </w:rPr>
      </w:pPr>
      <w:r w:rsidRPr="0013783E">
        <w:rPr>
          <w:rFonts w:ascii="Times New Roman" w:hAnsi="Times New Roman" w:cs="Times New Roman"/>
          <w:b/>
          <w:bCs/>
          <w:i/>
          <w:iCs/>
          <w:sz w:val="24"/>
          <w:szCs w:val="24"/>
        </w:rPr>
        <w:t>Financial Education Policy</w:t>
      </w:r>
    </w:p>
    <w:p w14:paraId="425ABCF1" w14:textId="77777777" w:rsidR="00913A79" w:rsidRDefault="00913A79" w:rsidP="002B3FB6">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part, </w:t>
      </w:r>
      <w:r w:rsidR="00BB30BA">
        <w:rPr>
          <w:rFonts w:ascii="Times New Roman" w:eastAsia="Calibri" w:hAnsi="Times New Roman" w:cs="Times New Roman"/>
          <w:sz w:val="24"/>
          <w:szCs w:val="24"/>
        </w:rPr>
        <w:t xml:space="preserve">the survey </w:t>
      </w:r>
      <w:r>
        <w:rPr>
          <w:rFonts w:ascii="Times New Roman" w:eastAsia="Calibri" w:hAnsi="Times New Roman" w:cs="Times New Roman"/>
          <w:sz w:val="24"/>
          <w:szCs w:val="24"/>
        </w:rPr>
        <w:t xml:space="preserve">focuses on </w:t>
      </w:r>
      <w:r w:rsidR="00BB30BA">
        <w:rPr>
          <w:rFonts w:ascii="Times New Roman" w:eastAsia="Calibri" w:hAnsi="Times New Roman" w:cs="Times New Roman"/>
          <w:sz w:val="24"/>
          <w:szCs w:val="24"/>
        </w:rPr>
        <w:t xml:space="preserve">acquiring </w:t>
      </w:r>
      <w:r>
        <w:rPr>
          <w:rFonts w:ascii="Times New Roman" w:eastAsia="Calibri" w:hAnsi="Times New Roman" w:cs="Times New Roman"/>
          <w:sz w:val="24"/>
          <w:szCs w:val="24"/>
        </w:rPr>
        <w:t xml:space="preserve">an accurate picture of the current level of financial literacy, regular assessment, an existence of financial literacy strategy, and the gaps. </w:t>
      </w:r>
    </w:p>
    <w:p w14:paraId="425ABCF2" w14:textId="77777777" w:rsidR="004D0599" w:rsidRDefault="00913A79" w:rsidP="002B3FB6">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the picture of the current level of financial literacy, t</w:t>
      </w:r>
      <w:r w:rsidR="0013783E">
        <w:rPr>
          <w:rFonts w:ascii="Times New Roman" w:eastAsia="Calibri" w:hAnsi="Times New Roman" w:cs="Times New Roman"/>
          <w:sz w:val="24"/>
          <w:szCs w:val="24"/>
        </w:rPr>
        <w:t xml:space="preserve">he survey </w:t>
      </w:r>
      <w:r w:rsidR="00BB30BA">
        <w:rPr>
          <w:rFonts w:ascii="Times New Roman" w:eastAsia="Calibri" w:hAnsi="Times New Roman" w:cs="Times New Roman"/>
          <w:sz w:val="24"/>
          <w:szCs w:val="24"/>
        </w:rPr>
        <w:t>showed</w:t>
      </w:r>
      <w:r w:rsidR="0013783E">
        <w:rPr>
          <w:rFonts w:ascii="Times New Roman" w:eastAsia="Calibri" w:hAnsi="Times New Roman" w:cs="Times New Roman"/>
          <w:sz w:val="24"/>
          <w:szCs w:val="24"/>
        </w:rPr>
        <w:t xml:space="preserve"> that 76% (13) of </w:t>
      </w:r>
      <w:r w:rsidR="00BB30BA">
        <w:rPr>
          <w:rFonts w:ascii="Times New Roman" w:eastAsia="Calibri" w:hAnsi="Times New Roman" w:cs="Times New Roman"/>
          <w:sz w:val="24"/>
          <w:szCs w:val="24"/>
        </w:rPr>
        <w:t xml:space="preserve">the </w:t>
      </w:r>
      <w:r w:rsidR="0013783E">
        <w:rPr>
          <w:rFonts w:ascii="Times New Roman" w:eastAsia="Calibri" w:hAnsi="Times New Roman" w:cs="Times New Roman"/>
          <w:sz w:val="24"/>
          <w:szCs w:val="24"/>
        </w:rPr>
        <w:t xml:space="preserve">APEC economies have </w:t>
      </w:r>
      <w:r w:rsidR="00BB30BA">
        <w:rPr>
          <w:rFonts w:ascii="Times New Roman" w:eastAsia="Calibri" w:hAnsi="Times New Roman" w:cs="Times New Roman"/>
          <w:sz w:val="24"/>
          <w:szCs w:val="24"/>
        </w:rPr>
        <w:t xml:space="preserve">an </w:t>
      </w:r>
      <w:r w:rsidR="004D0599">
        <w:rPr>
          <w:rFonts w:ascii="Times New Roman" w:eastAsia="Calibri" w:hAnsi="Times New Roman" w:cs="Times New Roman"/>
          <w:sz w:val="24"/>
          <w:szCs w:val="24"/>
        </w:rPr>
        <w:t xml:space="preserve">accurate </w:t>
      </w:r>
      <w:r w:rsidR="0013783E">
        <w:rPr>
          <w:rFonts w:ascii="Times New Roman" w:eastAsia="Calibri" w:hAnsi="Times New Roman" w:cs="Times New Roman"/>
          <w:sz w:val="24"/>
          <w:szCs w:val="24"/>
        </w:rPr>
        <w:t>financial education policy</w:t>
      </w:r>
      <w:r w:rsidR="00BB30BA">
        <w:rPr>
          <w:rFonts w:ascii="Times New Roman" w:eastAsia="Calibri" w:hAnsi="Times New Roman" w:cs="Times New Roman"/>
          <w:sz w:val="24"/>
          <w:szCs w:val="24"/>
        </w:rPr>
        <w:t>,</w:t>
      </w:r>
      <w:r w:rsidR="004D0599">
        <w:rPr>
          <w:rFonts w:ascii="Times New Roman" w:eastAsia="Calibri" w:hAnsi="Times New Roman" w:cs="Times New Roman"/>
          <w:sz w:val="24"/>
          <w:szCs w:val="24"/>
        </w:rPr>
        <w:t xml:space="preserve"> while there </w:t>
      </w:r>
      <w:r w:rsidR="0013783E">
        <w:rPr>
          <w:rFonts w:ascii="Times New Roman" w:eastAsia="Calibri" w:hAnsi="Times New Roman" w:cs="Times New Roman"/>
          <w:sz w:val="24"/>
          <w:szCs w:val="24"/>
        </w:rPr>
        <w:t xml:space="preserve">four (24%) </w:t>
      </w:r>
      <w:r w:rsidR="00BB30BA">
        <w:rPr>
          <w:rFonts w:ascii="Times New Roman" w:eastAsia="Calibri" w:hAnsi="Times New Roman" w:cs="Times New Roman"/>
          <w:sz w:val="24"/>
          <w:szCs w:val="24"/>
        </w:rPr>
        <w:t xml:space="preserve">with </w:t>
      </w:r>
      <w:r w:rsidR="004D0599">
        <w:rPr>
          <w:rFonts w:ascii="Times New Roman" w:eastAsia="Calibri" w:hAnsi="Times New Roman" w:cs="Times New Roman"/>
          <w:sz w:val="24"/>
          <w:szCs w:val="24"/>
        </w:rPr>
        <w:t xml:space="preserve">an inaccurate financial education policy. The four </w:t>
      </w:r>
      <w:r w:rsidR="00BB30BA">
        <w:rPr>
          <w:rFonts w:ascii="Times New Roman" w:eastAsia="Calibri" w:hAnsi="Times New Roman" w:cs="Times New Roman"/>
          <w:sz w:val="24"/>
          <w:szCs w:val="24"/>
        </w:rPr>
        <w:t>economies in the latter category are</w:t>
      </w:r>
      <w:r w:rsidR="004D0599">
        <w:rPr>
          <w:rFonts w:ascii="Times New Roman" w:eastAsia="Calibri" w:hAnsi="Times New Roman" w:cs="Times New Roman"/>
          <w:sz w:val="24"/>
          <w:szCs w:val="24"/>
        </w:rPr>
        <w:t xml:space="preserve"> </w:t>
      </w:r>
      <w:r w:rsidR="004D0599" w:rsidRPr="004D0599">
        <w:rPr>
          <w:rFonts w:ascii="Times New Roman" w:eastAsia="Calibri" w:hAnsi="Times New Roman" w:cs="Times New Roman"/>
          <w:sz w:val="24"/>
          <w:szCs w:val="24"/>
        </w:rPr>
        <w:t>Brunei, Japan, the Philippines, and Russia</w:t>
      </w:r>
      <w:r w:rsidR="004D0599">
        <w:rPr>
          <w:rFonts w:ascii="Times New Roman" w:eastAsia="Calibri" w:hAnsi="Times New Roman" w:cs="Times New Roman"/>
          <w:sz w:val="24"/>
          <w:szCs w:val="24"/>
        </w:rPr>
        <w:t xml:space="preserve">.  </w:t>
      </w:r>
    </w:p>
    <w:p w14:paraId="425ABCF3" w14:textId="22804C0F" w:rsidR="004D0599" w:rsidRPr="004D0599" w:rsidRDefault="004D0599" w:rsidP="004D0599">
      <w:pPr>
        <w:pStyle w:val="Caption"/>
        <w:keepNext/>
        <w:rPr>
          <w:rFonts w:ascii="Times New Roman" w:hAnsi="Times New Roman" w:cs="Times New Roman"/>
          <w:b/>
          <w:bCs/>
          <w:i w:val="0"/>
          <w:iCs w:val="0"/>
          <w:sz w:val="24"/>
          <w:szCs w:val="24"/>
        </w:rPr>
      </w:pPr>
      <w:r w:rsidRPr="004D0599">
        <w:rPr>
          <w:rFonts w:ascii="Times New Roman" w:hAnsi="Times New Roman" w:cs="Times New Roman"/>
          <w:b/>
          <w:bCs/>
          <w:i w:val="0"/>
          <w:iCs w:val="0"/>
          <w:sz w:val="24"/>
          <w:szCs w:val="24"/>
        </w:rPr>
        <w:t xml:space="preserve">Figure </w:t>
      </w:r>
      <w:r w:rsidRPr="004D0599">
        <w:rPr>
          <w:rFonts w:ascii="Times New Roman" w:hAnsi="Times New Roman" w:cs="Times New Roman"/>
          <w:b/>
          <w:bCs/>
          <w:i w:val="0"/>
          <w:iCs w:val="0"/>
          <w:sz w:val="24"/>
          <w:szCs w:val="24"/>
        </w:rPr>
        <w:fldChar w:fldCharType="begin"/>
      </w:r>
      <w:r w:rsidRPr="004D0599">
        <w:rPr>
          <w:rFonts w:ascii="Times New Roman" w:hAnsi="Times New Roman" w:cs="Times New Roman"/>
          <w:b/>
          <w:bCs/>
          <w:i w:val="0"/>
          <w:iCs w:val="0"/>
          <w:sz w:val="24"/>
          <w:szCs w:val="24"/>
        </w:rPr>
        <w:instrText xml:space="preserve"> SEQ Figure \* ARABIC </w:instrText>
      </w:r>
      <w:r w:rsidRPr="004D0599">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1</w:t>
      </w:r>
      <w:r w:rsidRPr="004D0599">
        <w:rPr>
          <w:rFonts w:ascii="Times New Roman" w:hAnsi="Times New Roman" w:cs="Times New Roman"/>
          <w:b/>
          <w:bCs/>
          <w:i w:val="0"/>
          <w:iCs w:val="0"/>
          <w:sz w:val="24"/>
          <w:szCs w:val="24"/>
        </w:rPr>
        <w:fldChar w:fldCharType="end"/>
      </w:r>
      <w:r w:rsidRPr="004D0599">
        <w:rPr>
          <w:rFonts w:ascii="Times New Roman" w:hAnsi="Times New Roman" w:cs="Times New Roman"/>
          <w:b/>
          <w:bCs/>
          <w:i w:val="0"/>
          <w:iCs w:val="0"/>
          <w:sz w:val="24"/>
          <w:szCs w:val="24"/>
        </w:rPr>
        <w:t xml:space="preserve"> Proportion of </w:t>
      </w:r>
      <w:r w:rsidR="008C3440">
        <w:rPr>
          <w:rFonts w:ascii="Times New Roman" w:hAnsi="Times New Roman" w:cs="Times New Roman"/>
          <w:b/>
          <w:bCs/>
          <w:i w:val="0"/>
          <w:iCs w:val="0"/>
          <w:sz w:val="24"/>
          <w:szCs w:val="24"/>
        </w:rPr>
        <w:t>econom</w:t>
      </w:r>
      <w:r w:rsidRPr="004D0599">
        <w:rPr>
          <w:rFonts w:ascii="Times New Roman" w:hAnsi="Times New Roman" w:cs="Times New Roman"/>
          <w:b/>
          <w:bCs/>
          <w:i w:val="0"/>
          <w:iCs w:val="0"/>
          <w:sz w:val="24"/>
          <w:szCs w:val="24"/>
        </w:rPr>
        <w:t xml:space="preserve">ies </w:t>
      </w:r>
      <w:r>
        <w:rPr>
          <w:rFonts w:ascii="Times New Roman" w:hAnsi="Times New Roman" w:cs="Times New Roman"/>
          <w:b/>
          <w:bCs/>
          <w:i w:val="0"/>
          <w:iCs w:val="0"/>
          <w:sz w:val="24"/>
          <w:szCs w:val="24"/>
        </w:rPr>
        <w:t xml:space="preserve">having accurate </w:t>
      </w:r>
      <w:r w:rsidRPr="004D0599">
        <w:rPr>
          <w:rFonts w:ascii="Times New Roman" w:hAnsi="Times New Roman" w:cs="Times New Roman"/>
          <w:b/>
          <w:bCs/>
          <w:i w:val="0"/>
          <w:iCs w:val="0"/>
          <w:sz w:val="24"/>
          <w:szCs w:val="24"/>
        </w:rPr>
        <w:t>financial education policy</w:t>
      </w:r>
    </w:p>
    <w:p w14:paraId="425ABCF4" w14:textId="77777777" w:rsidR="0013783E" w:rsidRDefault="0013783E" w:rsidP="004D0599">
      <w:pPr>
        <w:spacing w:before="240" w:after="240" w:line="240" w:lineRule="auto"/>
        <w:jc w:val="center"/>
        <w:rPr>
          <w:rFonts w:ascii="Times New Roman" w:eastAsia="Calibri" w:hAnsi="Times New Roman" w:cs="Times New Roman"/>
          <w:sz w:val="24"/>
          <w:szCs w:val="24"/>
        </w:rPr>
      </w:pPr>
      <w:r>
        <w:rPr>
          <w:noProof/>
        </w:rPr>
        <w:drawing>
          <wp:inline distT="0" distB="0" distL="0" distR="0" wp14:anchorId="425ABE1D" wp14:editId="425ABE1E">
            <wp:extent cx="4580792" cy="237392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5ABCF5" w14:textId="77777777" w:rsidR="004D0599" w:rsidRPr="004D0599" w:rsidRDefault="004D0599" w:rsidP="004D0599">
      <w:pPr>
        <w:spacing w:before="240" w:after="240" w:line="240" w:lineRule="auto"/>
        <w:jc w:val="both"/>
        <w:rPr>
          <w:rFonts w:ascii="Times New Roman" w:eastAsia="Calibri" w:hAnsi="Times New Roman" w:cs="Times New Roman"/>
          <w:sz w:val="20"/>
          <w:szCs w:val="20"/>
        </w:rPr>
      </w:pPr>
      <w:r w:rsidRPr="004D0599">
        <w:rPr>
          <w:rFonts w:ascii="Times New Roman" w:eastAsia="Calibri" w:hAnsi="Times New Roman" w:cs="Times New Roman"/>
          <w:sz w:val="20"/>
          <w:szCs w:val="20"/>
        </w:rPr>
        <w:t>Source: Financial Literacy Survey (2016)</w:t>
      </w:r>
    </w:p>
    <w:p w14:paraId="425ABCF6" w14:textId="77777777" w:rsidR="00213A99" w:rsidRDefault="00213A9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25ABCF7" w14:textId="77777777" w:rsidR="00913A79" w:rsidRDefault="00BB30BA" w:rsidP="004D059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w:t>
      </w:r>
      <w:r w:rsidR="00913A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survey </w:t>
      </w:r>
      <w:r w:rsidR="00913A79">
        <w:rPr>
          <w:rFonts w:ascii="Times New Roman" w:eastAsia="Calibri" w:hAnsi="Times New Roman" w:cs="Times New Roman"/>
          <w:sz w:val="24"/>
          <w:szCs w:val="24"/>
        </w:rPr>
        <w:t xml:space="preserve">found that 65% of APEC economies </w:t>
      </w:r>
      <w:r w:rsidR="00C67A45">
        <w:rPr>
          <w:rFonts w:ascii="Times New Roman" w:eastAsia="Calibri" w:hAnsi="Times New Roman" w:cs="Times New Roman"/>
          <w:sz w:val="24"/>
          <w:szCs w:val="24"/>
        </w:rPr>
        <w:t>carry out regular assessment</w:t>
      </w:r>
      <w:r>
        <w:rPr>
          <w:rFonts w:ascii="Times New Roman" w:eastAsia="Calibri" w:hAnsi="Times New Roman" w:cs="Times New Roman"/>
          <w:sz w:val="24"/>
          <w:szCs w:val="24"/>
        </w:rPr>
        <w:t>s</w:t>
      </w:r>
      <w:r w:rsidR="00C67A45">
        <w:rPr>
          <w:rFonts w:ascii="Times New Roman" w:eastAsia="Calibri" w:hAnsi="Times New Roman" w:cs="Times New Roman"/>
          <w:sz w:val="24"/>
          <w:szCs w:val="24"/>
        </w:rPr>
        <w:t xml:space="preserve"> of financial literacy</w:t>
      </w:r>
      <w:r>
        <w:rPr>
          <w:rFonts w:ascii="Times New Roman" w:eastAsia="Calibri" w:hAnsi="Times New Roman" w:cs="Times New Roman"/>
          <w:sz w:val="24"/>
          <w:szCs w:val="24"/>
        </w:rPr>
        <w:t>,</w:t>
      </w:r>
      <w:r w:rsidR="00C67A45">
        <w:rPr>
          <w:rFonts w:ascii="Times New Roman" w:eastAsia="Calibri" w:hAnsi="Times New Roman" w:cs="Times New Roman"/>
          <w:sz w:val="24"/>
          <w:szCs w:val="24"/>
        </w:rPr>
        <w:t xml:space="preserve"> while about 35% rarely carry out the assessment—these </w:t>
      </w:r>
      <w:r>
        <w:rPr>
          <w:rFonts w:ascii="Times New Roman" w:eastAsia="Calibri" w:hAnsi="Times New Roman" w:cs="Times New Roman"/>
          <w:sz w:val="24"/>
          <w:szCs w:val="24"/>
        </w:rPr>
        <w:t xml:space="preserve">economies </w:t>
      </w:r>
      <w:r w:rsidR="00C67A45">
        <w:rPr>
          <w:rFonts w:ascii="Times New Roman" w:eastAsia="Calibri" w:hAnsi="Times New Roman" w:cs="Times New Roman"/>
          <w:sz w:val="24"/>
          <w:szCs w:val="24"/>
        </w:rPr>
        <w:t xml:space="preserve">include </w:t>
      </w:r>
      <w:r w:rsidR="00C67A45" w:rsidRPr="00C67A45">
        <w:rPr>
          <w:rFonts w:ascii="Times New Roman" w:eastAsia="Calibri" w:hAnsi="Times New Roman" w:cs="Times New Roman"/>
          <w:sz w:val="24"/>
          <w:szCs w:val="24"/>
        </w:rPr>
        <w:t>Brunei, Japan, Korea, the Philippines, Russia, and Singapore</w:t>
      </w:r>
    </w:p>
    <w:p w14:paraId="425ABCF8" w14:textId="072A5AB0" w:rsidR="00C67A45" w:rsidRPr="00C67A45" w:rsidRDefault="00C67A45" w:rsidP="00C67A45">
      <w:pPr>
        <w:pStyle w:val="Caption"/>
        <w:keepNext/>
        <w:jc w:val="both"/>
        <w:rPr>
          <w:rFonts w:ascii="Times New Roman" w:hAnsi="Times New Roman" w:cs="Times New Roman"/>
          <w:b/>
          <w:bCs/>
          <w:i w:val="0"/>
          <w:iCs w:val="0"/>
          <w:color w:val="000000" w:themeColor="text1"/>
          <w:sz w:val="24"/>
          <w:szCs w:val="24"/>
        </w:rPr>
      </w:pPr>
      <w:r w:rsidRPr="00C67A45">
        <w:rPr>
          <w:rFonts w:ascii="Times New Roman" w:hAnsi="Times New Roman" w:cs="Times New Roman"/>
          <w:b/>
          <w:bCs/>
          <w:i w:val="0"/>
          <w:iCs w:val="0"/>
          <w:color w:val="000000" w:themeColor="text1"/>
          <w:sz w:val="24"/>
          <w:szCs w:val="24"/>
        </w:rPr>
        <w:t xml:space="preserve">Figure </w:t>
      </w:r>
      <w:r w:rsidRPr="00C67A45">
        <w:rPr>
          <w:rFonts w:ascii="Times New Roman" w:hAnsi="Times New Roman" w:cs="Times New Roman"/>
          <w:b/>
          <w:bCs/>
          <w:i w:val="0"/>
          <w:iCs w:val="0"/>
          <w:color w:val="000000" w:themeColor="text1"/>
          <w:sz w:val="24"/>
          <w:szCs w:val="24"/>
        </w:rPr>
        <w:fldChar w:fldCharType="begin"/>
      </w:r>
      <w:r w:rsidRPr="00C67A45">
        <w:rPr>
          <w:rFonts w:ascii="Times New Roman" w:hAnsi="Times New Roman" w:cs="Times New Roman"/>
          <w:b/>
          <w:bCs/>
          <w:i w:val="0"/>
          <w:iCs w:val="0"/>
          <w:color w:val="000000" w:themeColor="text1"/>
          <w:sz w:val="24"/>
          <w:szCs w:val="24"/>
        </w:rPr>
        <w:instrText xml:space="preserve"> SEQ Figure \* ARABIC </w:instrText>
      </w:r>
      <w:r w:rsidRPr="00C67A45">
        <w:rPr>
          <w:rFonts w:ascii="Times New Roman" w:hAnsi="Times New Roman" w:cs="Times New Roman"/>
          <w:b/>
          <w:bCs/>
          <w:i w:val="0"/>
          <w:iCs w:val="0"/>
          <w:color w:val="000000" w:themeColor="text1"/>
          <w:sz w:val="24"/>
          <w:szCs w:val="24"/>
        </w:rPr>
        <w:fldChar w:fldCharType="separate"/>
      </w:r>
      <w:r w:rsidR="00BF12A8">
        <w:rPr>
          <w:rFonts w:ascii="Times New Roman" w:hAnsi="Times New Roman" w:cs="Times New Roman"/>
          <w:b/>
          <w:bCs/>
          <w:i w:val="0"/>
          <w:iCs w:val="0"/>
          <w:noProof/>
          <w:color w:val="000000" w:themeColor="text1"/>
          <w:sz w:val="24"/>
          <w:szCs w:val="24"/>
        </w:rPr>
        <w:t>2</w:t>
      </w:r>
      <w:r w:rsidRPr="00C67A45">
        <w:rPr>
          <w:rFonts w:ascii="Times New Roman" w:hAnsi="Times New Roman" w:cs="Times New Roman"/>
          <w:b/>
          <w:bCs/>
          <w:i w:val="0"/>
          <w:iCs w:val="0"/>
          <w:color w:val="000000" w:themeColor="text1"/>
          <w:sz w:val="24"/>
          <w:szCs w:val="24"/>
        </w:rPr>
        <w:fldChar w:fldCharType="end"/>
      </w:r>
      <w:r w:rsidRPr="00C67A45">
        <w:rPr>
          <w:rFonts w:ascii="Times New Roman" w:hAnsi="Times New Roman" w:cs="Times New Roman"/>
          <w:b/>
          <w:bCs/>
          <w:i w:val="0"/>
          <w:iCs w:val="0"/>
          <w:color w:val="000000" w:themeColor="text1"/>
          <w:sz w:val="24"/>
          <w:szCs w:val="24"/>
        </w:rPr>
        <w:t xml:space="preserve"> Proportion of </w:t>
      </w:r>
      <w:r w:rsidR="008C3440">
        <w:rPr>
          <w:rFonts w:ascii="Times New Roman" w:hAnsi="Times New Roman" w:cs="Times New Roman"/>
          <w:b/>
          <w:bCs/>
          <w:i w:val="0"/>
          <w:iCs w:val="0"/>
          <w:color w:val="000000" w:themeColor="text1"/>
          <w:sz w:val="24"/>
          <w:szCs w:val="24"/>
        </w:rPr>
        <w:t>eco</w:t>
      </w:r>
      <w:r w:rsidRPr="00C67A45">
        <w:rPr>
          <w:rFonts w:ascii="Times New Roman" w:hAnsi="Times New Roman" w:cs="Times New Roman"/>
          <w:b/>
          <w:bCs/>
          <w:i w:val="0"/>
          <w:iCs w:val="0"/>
          <w:color w:val="000000" w:themeColor="text1"/>
          <w:sz w:val="24"/>
          <w:szCs w:val="24"/>
        </w:rPr>
        <w:t>n</w:t>
      </w:r>
      <w:r w:rsidR="008C3440">
        <w:rPr>
          <w:rFonts w:ascii="Times New Roman" w:hAnsi="Times New Roman" w:cs="Times New Roman"/>
          <w:b/>
          <w:bCs/>
          <w:i w:val="0"/>
          <w:iCs w:val="0"/>
          <w:color w:val="000000" w:themeColor="text1"/>
          <w:sz w:val="24"/>
          <w:szCs w:val="24"/>
        </w:rPr>
        <w:t>om</w:t>
      </w:r>
      <w:r w:rsidRPr="00C67A45">
        <w:rPr>
          <w:rFonts w:ascii="Times New Roman" w:hAnsi="Times New Roman" w:cs="Times New Roman"/>
          <w:b/>
          <w:bCs/>
          <w:i w:val="0"/>
          <w:iCs w:val="0"/>
          <w:color w:val="000000" w:themeColor="text1"/>
          <w:sz w:val="24"/>
          <w:szCs w:val="24"/>
        </w:rPr>
        <w:t>ies having regular assessment</w:t>
      </w:r>
    </w:p>
    <w:p w14:paraId="425ABCF9" w14:textId="77777777" w:rsidR="00913A79" w:rsidRDefault="00913A79" w:rsidP="00C67A45">
      <w:pPr>
        <w:spacing w:before="240" w:after="240" w:line="240" w:lineRule="auto"/>
        <w:jc w:val="center"/>
        <w:rPr>
          <w:rFonts w:ascii="Times New Roman" w:eastAsia="Calibri" w:hAnsi="Times New Roman" w:cs="Times New Roman"/>
          <w:sz w:val="24"/>
          <w:szCs w:val="24"/>
        </w:rPr>
      </w:pPr>
      <w:r>
        <w:rPr>
          <w:noProof/>
        </w:rPr>
        <w:drawing>
          <wp:inline distT="0" distB="0" distL="0" distR="0" wp14:anchorId="425ABE1F" wp14:editId="425ABE20">
            <wp:extent cx="4295554" cy="244548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5ABCFA" w14:textId="77777777" w:rsidR="00C67A45" w:rsidRPr="00213A99" w:rsidRDefault="00C67A45" w:rsidP="004D0599">
      <w:pPr>
        <w:spacing w:before="240" w:after="240" w:line="240" w:lineRule="auto"/>
        <w:jc w:val="both"/>
        <w:rPr>
          <w:rFonts w:ascii="Times New Roman" w:eastAsia="Calibri" w:hAnsi="Times New Roman" w:cs="Times New Roman"/>
          <w:szCs w:val="22"/>
        </w:rPr>
      </w:pPr>
      <w:r w:rsidRPr="00213A99">
        <w:rPr>
          <w:rFonts w:ascii="Times New Roman" w:eastAsia="Calibri" w:hAnsi="Times New Roman" w:cs="Times New Roman"/>
          <w:szCs w:val="22"/>
        </w:rPr>
        <w:t>Source: Financial Literacy Survey (2016)</w:t>
      </w:r>
    </w:p>
    <w:p w14:paraId="425ABCFB" w14:textId="77777777" w:rsidR="004D0599" w:rsidRDefault="00BB30BA" w:rsidP="004D059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Economies that carry out the assessments have agencies assigned to carry out the task</w:t>
      </w:r>
      <w:r w:rsidR="00C67A45">
        <w:rPr>
          <w:rFonts w:ascii="Times New Roman" w:eastAsia="Calibri" w:hAnsi="Times New Roman" w:cs="Times New Roman"/>
          <w:sz w:val="24"/>
          <w:szCs w:val="24"/>
        </w:rPr>
        <w:t xml:space="preserve">. </w:t>
      </w:r>
      <w:r w:rsidR="004D0599">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004D0599">
        <w:rPr>
          <w:rFonts w:ascii="Times New Roman" w:eastAsia="Calibri" w:hAnsi="Times New Roman" w:cs="Times New Roman"/>
          <w:sz w:val="24"/>
          <w:szCs w:val="24"/>
        </w:rPr>
        <w:t xml:space="preserve">case of Malaysia, </w:t>
      </w:r>
      <w:r>
        <w:rPr>
          <w:rFonts w:ascii="Times New Roman" w:eastAsia="Calibri" w:hAnsi="Times New Roman" w:cs="Times New Roman"/>
          <w:sz w:val="24"/>
          <w:szCs w:val="24"/>
        </w:rPr>
        <w:t xml:space="preserve">the assessment is the responsibility of the </w:t>
      </w:r>
      <w:r w:rsidR="004D0599" w:rsidRPr="004D0599">
        <w:rPr>
          <w:rFonts w:ascii="Times New Roman" w:eastAsia="Calibri" w:hAnsi="Times New Roman" w:cs="Times New Roman"/>
          <w:sz w:val="24"/>
          <w:szCs w:val="24"/>
        </w:rPr>
        <w:t>Bank Negara Malaysia (BNM)</w:t>
      </w:r>
      <w:r w:rsidR="001F0D62">
        <w:rPr>
          <w:rFonts w:ascii="Times New Roman" w:eastAsia="Calibri" w:hAnsi="Times New Roman" w:cs="Times New Roman"/>
          <w:sz w:val="24"/>
          <w:szCs w:val="24"/>
        </w:rPr>
        <w:t xml:space="preserve">. </w:t>
      </w:r>
      <w:r>
        <w:rPr>
          <w:rFonts w:ascii="Times New Roman" w:eastAsia="Calibri" w:hAnsi="Times New Roman" w:cs="Times New Roman"/>
          <w:sz w:val="24"/>
          <w:szCs w:val="24"/>
        </w:rPr>
        <w:t>BNM</w:t>
      </w:r>
      <w:r w:rsidR="001F0D62">
        <w:rPr>
          <w:rFonts w:ascii="Times New Roman" w:eastAsia="Calibri" w:hAnsi="Times New Roman" w:cs="Times New Roman"/>
          <w:sz w:val="24"/>
          <w:szCs w:val="24"/>
        </w:rPr>
        <w:t xml:space="preserve"> </w:t>
      </w:r>
      <w:r w:rsidR="004D0599" w:rsidRPr="004D0599">
        <w:rPr>
          <w:rFonts w:ascii="Times New Roman" w:eastAsia="Calibri" w:hAnsi="Times New Roman" w:cs="Times New Roman"/>
          <w:sz w:val="24"/>
          <w:szCs w:val="24"/>
        </w:rPr>
        <w:t>conducts a nationwide survey periodically to obtain demand side data to support policy formulation to enhance the level of financial capability in Malaysia</w:t>
      </w:r>
      <w:r w:rsidR="001F0D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well as to </w:t>
      </w:r>
      <w:r w:rsidR="004D0599" w:rsidRPr="004D0599">
        <w:rPr>
          <w:rFonts w:ascii="Times New Roman" w:eastAsia="Calibri" w:hAnsi="Times New Roman" w:cs="Times New Roman"/>
          <w:sz w:val="24"/>
          <w:szCs w:val="24"/>
        </w:rPr>
        <w:t xml:space="preserve">evaluate </w:t>
      </w:r>
      <w:r>
        <w:rPr>
          <w:rFonts w:ascii="Times New Roman" w:eastAsia="Calibri" w:hAnsi="Times New Roman" w:cs="Times New Roman"/>
          <w:sz w:val="24"/>
          <w:szCs w:val="24"/>
        </w:rPr>
        <w:t xml:space="preserve">the </w:t>
      </w:r>
      <w:r w:rsidR="004D0599" w:rsidRPr="004D0599">
        <w:rPr>
          <w:rFonts w:ascii="Times New Roman" w:eastAsia="Calibri" w:hAnsi="Times New Roman" w:cs="Times New Roman"/>
          <w:sz w:val="24"/>
          <w:szCs w:val="24"/>
        </w:rPr>
        <w:t>effectiveness of module</w:t>
      </w:r>
      <w:r>
        <w:rPr>
          <w:rFonts w:ascii="Times New Roman" w:eastAsia="Calibri" w:hAnsi="Times New Roman" w:cs="Times New Roman"/>
          <w:sz w:val="24"/>
          <w:szCs w:val="24"/>
        </w:rPr>
        <w:t>s</w:t>
      </w:r>
      <w:r w:rsidR="004D0599" w:rsidRPr="004D0599">
        <w:rPr>
          <w:rFonts w:ascii="Times New Roman" w:eastAsia="Calibri" w:hAnsi="Times New Roman" w:cs="Times New Roman"/>
          <w:sz w:val="24"/>
          <w:szCs w:val="24"/>
        </w:rPr>
        <w:t xml:space="preserve">, contents and delivery channels. Topical review is done to identify consumer vulnerabilities and risk areas, </w:t>
      </w:r>
      <w:r>
        <w:rPr>
          <w:rFonts w:ascii="Times New Roman" w:eastAsia="Calibri" w:hAnsi="Times New Roman" w:cs="Times New Roman"/>
          <w:sz w:val="24"/>
          <w:szCs w:val="24"/>
        </w:rPr>
        <w:t>which then supports</w:t>
      </w:r>
      <w:r w:rsidR="004D0599" w:rsidRPr="004D0599">
        <w:rPr>
          <w:rFonts w:ascii="Times New Roman" w:eastAsia="Calibri" w:hAnsi="Times New Roman" w:cs="Times New Roman"/>
          <w:sz w:val="24"/>
          <w:szCs w:val="24"/>
        </w:rPr>
        <w:t xml:space="preserve"> policy intervention or formulation.</w:t>
      </w:r>
    </w:p>
    <w:p w14:paraId="425ABCFC" w14:textId="77777777" w:rsidR="00913A79" w:rsidRDefault="00913A79" w:rsidP="00913A7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Australia, m</w:t>
      </w:r>
      <w:r w:rsidRPr="00913A79">
        <w:rPr>
          <w:rFonts w:ascii="Times New Roman" w:eastAsia="Calibri" w:hAnsi="Times New Roman" w:cs="Times New Roman"/>
          <w:sz w:val="24"/>
          <w:szCs w:val="24"/>
        </w:rPr>
        <w:t>any organizations across various sectors (including the government, business, and community and education sectors) are involved in delivering financial literacy initiatives.  Some of these initiatives assess general financial literacy levels; others evaluate the impact of the s</w:t>
      </w:r>
      <w:r>
        <w:rPr>
          <w:rFonts w:ascii="Times New Roman" w:eastAsia="Calibri" w:hAnsi="Times New Roman" w:cs="Times New Roman"/>
          <w:sz w:val="24"/>
          <w:szCs w:val="24"/>
        </w:rPr>
        <w:t>pecific initiative</w:t>
      </w:r>
      <w:r w:rsidR="00BB30BA">
        <w:rPr>
          <w:rFonts w:ascii="Times New Roman" w:eastAsia="Calibri" w:hAnsi="Times New Roman" w:cs="Times New Roman"/>
          <w:sz w:val="24"/>
          <w:szCs w:val="24"/>
        </w:rPr>
        <w:t>s</w:t>
      </w:r>
      <w:r>
        <w:rPr>
          <w:rFonts w:ascii="Times New Roman" w:eastAsia="Calibri" w:hAnsi="Times New Roman" w:cs="Times New Roman"/>
          <w:sz w:val="24"/>
          <w:szCs w:val="24"/>
        </w:rPr>
        <w:t>. For example, t</w:t>
      </w:r>
      <w:r w:rsidRPr="00913A79">
        <w:rPr>
          <w:rFonts w:ascii="Times New Roman" w:eastAsia="Calibri" w:hAnsi="Times New Roman" w:cs="Times New Roman"/>
          <w:sz w:val="24"/>
          <w:szCs w:val="24"/>
        </w:rPr>
        <w:t>he ANZ Banking Group funds the Survey of Adult Financial Literacy in Australia, consistent with the objectives of its corporate social responsibility policies. The survey is developed in consultation with the Australian Securities and Investments Commission (ASIC) and se</w:t>
      </w:r>
      <w:r w:rsidR="00C67A45">
        <w:rPr>
          <w:rFonts w:ascii="Times New Roman" w:eastAsia="Calibri" w:hAnsi="Times New Roman" w:cs="Times New Roman"/>
          <w:sz w:val="24"/>
          <w:szCs w:val="24"/>
        </w:rPr>
        <w:t xml:space="preserve">lect community representatives. </w:t>
      </w:r>
      <w:r w:rsidRPr="00913A79">
        <w:rPr>
          <w:rFonts w:ascii="Times New Roman" w:eastAsia="Calibri" w:hAnsi="Times New Roman" w:cs="Times New Roman"/>
          <w:sz w:val="24"/>
          <w:szCs w:val="24"/>
        </w:rPr>
        <w:t xml:space="preserve">ASIC also conducts evaluations of its financial literacy programs, moneysmart.gov.au and </w:t>
      </w:r>
      <w:r w:rsidR="00C67A45" w:rsidRPr="00913A79">
        <w:rPr>
          <w:rFonts w:ascii="Times New Roman" w:eastAsia="Calibri" w:hAnsi="Times New Roman" w:cs="Times New Roman"/>
          <w:sz w:val="24"/>
          <w:szCs w:val="24"/>
        </w:rPr>
        <w:t>Money Smart</w:t>
      </w:r>
      <w:r w:rsidRPr="00913A79">
        <w:rPr>
          <w:rFonts w:ascii="Times New Roman" w:eastAsia="Calibri" w:hAnsi="Times New Roman" w:cs="Times New Roman"/>
          <w:sz w:val="24"/>
          <w:szCs w:val="24"/>
        </w:rPr>
        <w:t xml:space="preserve"> Teaching. See www.moneysmart.gov.au/about-us/reports-and-surveys for reports about these programs.</w:t>
      </w:r>
      <w:r w:rsidR="00C67A45">
        <w:rPr>
          <w:rFonts w:ascii="Times New Roman" w:eastAsia="Calibri" w:hAnsi="Times New Roman" w:cs="Times New Roman"/>
          <w:sz w:val="24"/>
          <w:szCs w:val="24"/>
        </w:rPr>
        <w:t xml:space="preserve"> </w:t>
      </w:r>
      <w:r w:rsidRPr="00913A79">
        <w:rPr>
          <w:rFonts w:ascii="Times New Roman" w:eastAsia="Calibri" w:hAnsi="Times New Roman" w:cs="Times New Roman"/>
          <w:sz w:val="24"/>
          <w:szCs w:val="24"/>
        </w:rPr>
        <w:t xml:space="preserve">A number of industry </w:t>
      </w:r>
      <w:r w:rsidR="00C67A45" w:rsidRPr="00913A79">
        <w:rPr>
          <w:rFonts w:ascii="Times New Roman" w:eastAsia="Calibri" w:hAnsi="Times New Roman" w:cs="Times New Roman"/>
          <w:sz w:val="24"/>
          <w:szCs w:val="24"/>
        </w:rPr>
        <w:t>organizations</w:t>
      </w:r>
      <w:r w:rsidRPr="00913A79">
        <w:rPr>
          <w:rFonts w:ascii="Times New Roman" w:eastAsia="Calibri" w:hAnsi="Times New Roman" w:cs="Times New Roman"/>
          <w:sz w:val="24"/>
          <w:szCs w:val="24"/>
        </w:rPr>
        <w:t xml:space="preserve"> conduct research on specific areas that encompass financial literacy issues </w:t>
      </w:r>
    </w:p>
    <w:p w14:paraId="425ABCFD" w14:textId="77777777" w:rsidR="00C67A45" w:rsidRDefault="00C67A45" w:rsidP="00913A7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Canada, t</w:t>
      </w:r>
      <w:r w:rsidRPr="00C67A45">
        <w:rPr>
          <w:rFonts w:ascii="Times New Roman" w:eastAsia="Calibri" w:hAnsi="Times New Roman" w:cs="Times New Roman"/>
          <w:sz w:val="24"/>
          <w:szCs w:val="24"/>
        </w:rPr>
        <w:t xml:space="preserve">he Canadian Financial Capability Survey is conducted by Statistics Canada and the Financial Consumer Agency of Canada.  The Survey was undertaken in 2009 and 2014; it will be refiled in 2019.  It will be supplemented by other research such as the 2015 OECD/INFE Measurement of Financial Literacy and Financial Inclusion that surveyed adults 18 – 79 and the </w:t>
      </w:r>
      <w:r w:rsidRPr="00C67A45">
        <w:rPr>
          <w:rFonts w:ascii="Times New Roman" w:eastAsia="Calibri" w:hAnsi="Times New Roman" w:cs="Times New Roman"/>
          <w:sz w:val="24"/>
          <w:szCs w:val="24"/>
        </w:rPr>
        <w:lastRenderedPageBreak/>
        <w:t xml:space="preserve">2015 </w:t>
      </w:r>
      <w:proofErr w:type="spellStart"/>
      <w:r w:rsidRPr="00C67A45">
        <w:rPr>
          <w:rFonts w:ascii="Times New Roman" w:eastAsia="Calibri" w:hAnsi="Times New Roman" w:cs="Times New Roman"/>
          <w:sz w:val="24"/>
          <w:szCs w:val="24"/>
        </w:rPr>
        <w:t>Programme</w:t>
      </w:r>
      <w:proofErr w:type="spellEnd"/>
      <w:r w:rsidRPr="00C67A45">
        <w:rPr>
          <w:rFonts w:ascii="Times New Roman" w:eastAsia="Calibri" w:hAnsi="Times New Roman" w:cs="Times New Roman"/>
          <w:sz w:val="24"/>
          <w:szCs w:val="24"/>
        </w:rPr>
        <w:t xml:space="preserve"> for International Student Assessment (PISA) financial literacy assessment completed by 15 year-old students in schools in seven provinces in 2015</w:t>
      </w:r>
      <w:r w:rsidR="001223BE">
        <w:rPr>
          <w:rFonts w:ascii="Times New Roman" w:eastAsia="Calibri" w:hAnsi="Times New Roman" w:cs="Times New Roman"/>
          <w:sz w:val="24"/>
          <w:szCs w:val="24"/>
        </w:rPr>
        <w:t>.</w:t>
      </w:r>
    </w:p>
    <w:p w14:paraId="425ABCFE" w14:textId="77777777" w:rsidR="00C67A45" w:rsidRDefault="00C67A45" w:rsidP="00913A7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a case of Thailand, </w:t>
      </w:r>
      <w:r w:rsidRPr="00C67A45">
        <w:rPr>
          <w:rFonts w:ascii="Times New Roman" w:eastAsia="Calibri" w:hAnsi="Times New Roman" w:cs="Times New Roman"/>
          <w:sz w:val="24"/>
          <w:szCs w:val="24"/>
        </w:rPr>
        <w:t>the Bank of Thailand</w:t>
      </w:r>
      <w:r w:rsidR="001223BE">
        <w:rPr>
          <w:rFonts w:ascii="Times New Roman" w:eastAsia="Calibri" w:hAnsi="Times New Roman" w:cs="Times New Roman"/>
          <w:sz w:val="24"/>
          <w:szCs w:val="24"/>
        </w:rPr>
        <w:t xml:space="preserve"> and</w:t>
      </w:r>
      <w:r w:rsidRPr="00C67A45">
        <w:rPr>
          <w:rFonts w:ascii="Times New Roman" w:eastAsia="Calibri" w:hAnsi="Times New Roman" w:cs="Times New Roman"/>
          <w:sz w:val="24"/>
          <w:szCs w:val="24"/>
        </w:rPr>
        <w:t xml:space="preserve"> the National Statistical Office of Thailand (NSO)</w:t>
      </w:r>
      <w:r>
        <w:rPr>
          <w:rFonts w:ascii="Times New Roman" w:eastAsia="Calibri" w:hAnsi="Times New Roman" w:cs="Times New Roman"/>
          <w:sz w:val="24"/>
          <w:szCs w:val="24"/>
        </w:rPr>
        <w:t xml:space="preserve"> are two key agencies. During Q1/2013, they </w:t>
      </w:r>
      <w:r w:rsidRPr="00C67A45">
        <w:rPr>
          <w:rFonts w:ascii="Times New Roman" w:eastAsia="Calibri" w:hAnsi="Times New Roman" w:cs="Times New Roman"/>
          <w:sz w:val="24"/>
          <w:szCs w:val="24"/>
        </w:rPr>
        <w:t xml:space="preserve">conducted the fourth national household’s survey with </w:t>
      </w:r>
      <w:r w:rsidR="001223BE">
        <w:rPr>
          <w:rFonts w:ascii="Times New Roman" w:eastAsia="Calibri" w:hAnsi="Times New Roman" w:cs="Times New Roman"/>
          <w:sz w:val="24"/>
          <w:szCs w:val="24"/>
        </w:rPr>
        <w:t>a</w:t>
      </w:r>
      <w:r w:rsidR="001223BE" w:rsidRPr="00C67A45">
        <w:rPr>
          <w:rFonts w:ascii="Times New Roman" w:eastAsia="Calibri" w:hAnsi="Times New Roman" w:cs="Times New Roman"/>
          <w:sz w:val="24"/>
          <w:szCs w:val="24"/>
        </w:rPr>
        <w:t xml:space="preserve"> </w:t>
      </w:r>
      <w:r w:rsidRPr="00C67A45">
        <w:rPr>
          <w:rFonts w:ascii="Times New Roman" w:eastAsia="Calibri" w:hAnsi="Times New Roman" w:cs="Times New Roman"/>
          <w:sz w:val="24"/>
          <w:szCs w:val="24"/>
        </w:rPr>
        <w:t>sample size of 10,627 participants in order to observe Thai household status on various aspects such as debt level, financial access, and financial literacy. The OECD’s core questionnaire was used for the first time as part of the aforementioned survey in order to standardize the survey and make it comparable with those of other countries. The results will be used as a baseline data for monitoring future development.</w:t>
      </w:r>
    </w:p>
    <w:p w14:paraId="425ABCFF" w14:textId="77777777" w:rsidR="00213A99" w:rsidRDefault="00213A99" w:rsidP="00913A79">
      <w:pPr>
        <w:spacing w:before="240" w:after="240" w:line="240" w:lineRule="auto"/>
        <w:jc w:val="both"/>
        <w:rPr>
          <w:rFonts w:ascii="Times New Roman" w:eastAsia="Calibri" w:hAnsi="Times New Roman" w:cs="Times New Roman"/>
          <w:sz w:val="24"/>
          <w:szCs w:val="24"/>
        </w:rPr>
      </w:pPr>
      <w:r w:rsidRPr="00213A99">
        <w:rPr>
          <w:rFonts w:ascii="Times New Roman" w:eastAsia="Calibri" w:hAnsi="Times New Roman" w:cs="Times New Roman"/>
          <w:sz w:val="24"/>
          <w:szCs w:val="24"/>
        </w:rPr>
        <w:t xml:space="preserve">The U.S. has participated in the OECD’s PISA Financial Literacy assessment in 2012 and 2015 to assess financial knowledge of youth.  The FINRA Investor Education Foundation, </w:t>
      </w:r>
      <w:r w:rsidR="001223BE">
        <w:rPr>
          <w:rFonts w:ascii="Times New Roman" w:eastAsia="Calibri" w:hAnsi="Times New Roman" w:cs="Times New Roman"/>
          <w:sz w:val="24"/>
          <w:szCs w:val="24"/>
        </w:rPr>
        <w:t>a</w:t>
      </w:r>
      <w:r w:rsidR="001223BE" w:rsidRPr="00213A99">
        <w:rPr>
          <w:rFonts w:ascii="Times New Roman" w:eastAsia="Calibri" w:hAnsi="Times New Roman" w:cs="Times New Roman"/>
          <w:sz w:val="24"/>
          <w:szCs w:val="24"/>
        </w:rPr>
        <w:t xml:space="preserve"> </w:t>
      </w:r>
      <w:r w:rsidRPr="00213A99">
        <w:rPr>
          <w:rFonts w:ascii="Times New Roman" w:eastAsia="Calibri" w:hAnsi="Times New Roman" w:cs="Times New Roman"/>
          <w:sz w:val="24"/>
          <w:szCs w:val="24"/>
        </w:rPr>
        <w:t>non-governmental organization</w:t>
      </w:r>
      <w:r w:rsidR="001223BE">
        <w:rPr>
          <w:rFonts w:ascii="Times New Roman" w:eastAsia="Calibri" w:hAnsi="Times New Roman" w:cs="Times New Roman"/>
          <w:sz w:val="24"/>
          <w:szCs w:val="24"/>
        </w:rPr>
        <w:t>,</w:t>
      </w:r>
      <w:r w:rsidRPr="00213A99">
        <w:rPr>
          <w:rFonts w:ascii="Times New Roman" w:eastAsia="Calibri" w:hAnsi="Times New Roman" w:cs="Times New Roman"/>
          <w:sz w:val="24"/>
          <w:szCs w:val="24"/>
        </w:rPr>
        <w:t xml:space="preserve"> conducts the U.S. National Financial Capability Study every three years in consultation with U.S. government agencies.</w:t>
      </w:r>
    </w:p>
    <w:p w14:paraId="425ABD00" w14:textId="77777777" w:rsidR="00C67A45" w:rsidRDefault="00C67A45" w:rsidP="00913A7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the resources used for assessing financial literacy, </w:t>
      </w:r>
      <w:r w:rsidR="00213A99">
        <w:rPr>
          <w:rFonts w:ascii="Times New Roman" w:eastAsia="Calibri" w:hAnsi="Times New Roman" w:cs="Times New Roman"/>
          <w:sz w:val="24"/>
          <w:szCs w:val="24"/>
        </w:rPr>
        <w:t>the study found out that questionnaire is the most common resource</w:t>
      </w:r>
      <w:r w:rsidR="001223BE">
        <w:rPr>
          <w:rFonts w:ascii="Times New Roman" w:eastAsia="Calibri" w:hAnsi="Times New Roman" w:cs="Times New Roman"/>
          <w:sz w:val="24"/>
          <w:szCs w:val="24"/>
        </w:rPr>
        <w:t xml:space="preserve">, accounting </w:t>
      </w:r>
      <w:r w:rsidR="00213A99">
        <w:rPr>
          <w:rFonts w:ascii="Times New Roman" w:eastAsia="Calibri" w:hAnsi="Times New Roman" w:cs="Times New Roman"/>
          <w:sz w:val="24"/>
          <w:szCs w:val="24"/>
        </w:rPr>
        <w:t xml:space="preserve"> for 45%. </w:t>
      </w:r>
      <w:r w:rsidR="001223BE">
        <w:rPr>
          <w:rFonts w:ascii="Times New Roman" w:eastAsia="Calibri" w:hAnsi="Times New Roman" w:cs="Times New Roman"/>
          <w:sz w:val="24"/>
          <w:szCs w:val="24"/>
        </w:rPr>
        <w:t>Other</w:t>
      </w:r>
      <w:r w:rsidR="00213A99">
        <w:rPr>
          <w:rFonts w:ascii="Times New Roman" w:eastAsia="Calibri" w:hAnsi="Times New Roman" w:cs="Times New Roman"/>
          <w:sz w:val="24"/>
          <w:szCs w:val="24"/>
        </w:rPr>
        <w:t xml:space="preserve"> studies/indices and focus group account for 40% and 15%</w:t>
      </w:r>
      <w:r w:rsidR="001223BE">
        <w:rPr>
          <w:rFonts w:ascii="Times New Roman" w:eastAsia="Calibri" w:hAnsi="Times New Roman" w:cs="Times New Roman"/>
          <w:sz w:val="24"/>
          <w:szCs w:val="24"/>
        </w:rPr>
        <w:t>,</w:t>
      </w:r>
      <w:r w:rsidR="00213A99">
        <w:rPr>
          <w:rFonts w:ascii="Times New Roman" w:eastAsia="Calibri" w:hAnsi="Times New Roman" w:cs="Times New Roman"/>
          <w:sz w:val="24"/>
          <w:szCs w:val="24"/>
        </w:rPr>
        <w:t xml:space="preserve"> respectively. </w:t>
      </w:r>
    </w:p>
    <w:p w14:paraId="425ABD01" w14:textId="77777777" w:rsidR="00A465D2" w:rsidRPr="00A465D2" w:rsidRDefault="00A465D2" w:rsidP="00A465D2">
      <w:pPr>
        <w:pStyle w:val="Caption"/>
        <w:keepNext/>
        <w:rPr>
          <w:rFonts w:ascii="Times New Roman" w:hAnsi="Times New Roman" w:cs="Times New Roman"/>
          <w:b/>
          <w:bCs/>
          <w:i w:val="0"/>
          <w:iCs w:val="0"/>
          <w:sz w:val="24"/>
          <w:szCs w:val="24"/>
        </w:rPr>
      </w:pPr>
      <w:r w:rsidRPr="00A465D2">
        <w:rPr>
          <w:rFonts w:ascii="Times New Roman" w:hAnsi="Times New Roman" w:cs="Times New Roman"/>
          <w:b/>
          <w:bCs/>
          <w:i w:val="0"/>
          <w:iCs w:val="0"/>
          <w:sz w:val="24"/>
          <w:szCs w:val="24"/>
        </w:rPr>
        <w:t xml:space="preserve">Table </w:t>
      </w:r>
      <w:r w:rsidRPr="00A465D2">
        <w:rPr>
          <w:rFonts w:ascii="Times New Roman" w:hAnsi="Times New Roman" w:cs="Times New Roman"/>
          <w:b/>
          <w:bCs/>
          <w:i w:val="0"/>
          <w:iCs w:val="0"/>
          <w:sz w:val="24"/>
          <w:szCs w:val="24"/>
        </w:rPr>
        <w:fldChar w:fldCharType="begin"/>
      </w:r>
      <w:r w:rsidRPr="00A465D2">
        <w:rPr>
          <w:rFonts w:ascii="Times New Roman" w:hAnsi="Times New Roman" w:cs="Times New Roman"/>
          <w:b/>
          <w:bCs/>
          <w:i w:val="0"/>
          <w:iCs w:val="0"/>
          <w:sz w:val="24"/>
          <w:szCs w:val="24"/>
        </w:rPr>
        <w:instrText xml:space="preserve"> SEQ Table \* ARABIC </w:instrText>
      </w:r>
      <w:r w:rsidRPr="00A465D2">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1</w:t>
      </w:r>
      <w:r w:rsidRPr="00A465D2">
        <w:rPr>
          <w:rFonts w:ascii="Times New Roman" w:hAnsi="Times New Roman" w:cs="Times New Roman"/>
          <w:b/>
          <w:bCs/>
          <w:i w:val="0"/>
          <w:iCs w:val="0"/>
          <w:sz w:val="24"/>
          <w:szCs w:val="24"/>
        </w:rPr>
        <w:fldChar w:fldCharType="end"/>
      </w:r>
      <w:r w:rsidRPr="00A465D2">
        <w:rPr>
          <w:rFonts w:ascii="Times New Roman" w:hAnsi="Times New Roman" w:cs="Times New Roman"/>
          <w:b/>
          <w:bCs/>
          <w:i w:val="0"/>
          <w:iCs w:val="0"/>
          <w:sz w:val="24"/>
          <w:szCs w:val="24"/>
        </w:rPr>
        <w:t xml:space="preserve"> Proportion of resource used for assessing financial literacy</w:t>
      </w:r>
    </w:p>
    <w:tbl>
      <w:tblPr>
        <w:tblW w:w="5000" w:type="pct"/>
        <w:jc w:val="center"/>
        <w:tblLook w:val="04A0" w:firstRow="1" w:lastRow="0" w:firstColumn="1" w:lastColumn="0" w:noHBand="0" w:noVBand="1"/>
      </w:tblPr>
      <w:tblGrid>
        <w:gridCol w:w="3223"/>
        <w:gridCol w:w="2105"/>
        <w:gridCol w:w="2160"/>
        <w:gridCol w:w="2088"/>
      </w:tblGrid>
      <w:tr w:rsidR="00C67A45" w:rsidRPr="00C67A45" w14:paraId="425ABD04" w14:textId="77777777" w:rsidTr="008F4BCC">
        <w:trPr>
          <w:trHeight w:val="557"/>
          <w:jc w:val="center"/>
        </w:trPr>
        <w:tc>
          <w:tcPr>
            <w:tcW w:w="1683"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25ABD02"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Resources</w:t>
            </w:r>
          </w:p>
        </w:tc>
        <w:tc>
          <w:tcPr>
            <w:tcW w:w="3317" w:type="pct"/>
            <w:gridSpan w:val="3"/>
            <w:tcBorders>
              <w:top w:val="single" w:sz="4" w:space="0" w:color="auto"/>
              <w:left w:val="nil"/>
              <w:bottom w:val="single" w:sz="4" w:space="0" w:color="auto"/>
              <w:right w:val="single" w:sz="4" w:space="0" w:color="auto"/>
            </w:tcBorders>
            <w:shd w:val="clear" w:color="auto" w:fill="A6A6A6" w:themeFill="background1" w:themeFillShade="A6"/>
            <w:noWrap/>
            <w:hideMark/>
          </w:tcPr>
          <w:p w14:paraId="425ABD03"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Result</w:t>
            </w:r>
          </w:p>
        </w:tc>
      </w:tr>
      <w:tr w:rsidR="008F4BCC" w:rsidRPr="00C67A45" w14:paraId="425ABD09" w14:textId="77777777" w:rsidTr="008F4BCC">
        <w:trPr>
          <w:trHeight w:val="600"/>
          <w:jc w:val="center"/>
        </w:trPr>
        <w:tc>
          <w:tcPr>
            <w:tcW w:w="1683"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5ABD05" w14:textId="77777777" w:rsidR="00C67A45" w:rsidRPr="00C67A45" w:rsidRDefault="00C67A45" w:rsidP="00A465D2">
            <w:pPr>
              <w:spacing w:before="120" w:after="120" w:line="240" w:lineRule="auto"/>
              <w:rPr>
                <w:rFonts w:ascii="Times New Roman" w:eastAsia="Times New Roman" w:hAnsi="Times New Roman" w:cs="Times New Roman"/>
                <w:b/>
                <w:bCs/>
                <w:color w:val="000000"/>
                <w:sz w:val="24"/>
                <w:szCs w:val="24"/>
              </w:rPr>
            </w:pPr>
          </w:p>
        </w:tc>
        <w:tc>
          <w:tcPr>
            <w:tcW w:w="1099" w:type="pct"/>
            <w:tcBorders>
              <w:top w:val="nil"/>
              <w:left w:val="nil"/>
              <w:bottom w:val="single" w:sz="4" w:space="0" w:color="auto"/>
              <w:right w:val="single" w:sz="4" w:space="0" w:color="auto"/>
            </w:tcBorders>
            <w:shd w:val="clear" w:color="auto" w:fill="A6A6A6" w:themeFill="background1" w:themeFillShade="A6"/>
            <w:noWrap/>
            <w:hideMark/>
          </w:tcPr>
          <w:p w14:paraId="425ABD06"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Total</w:t>
            </w:r>
          </w:p>
        </w:tc>
        <w:tc>
          <w:tcPr>
            <w:tcW w:w="1128" w:type="pct"/>
            <w:tcBorders>
              <w:top w:val="nil"/>
              <w:left w:val="nil"/>
              <w:bottom w:val="single" w:sz="4" w:space="0" w:color="auto"/>
              <w:right w:val="single" w:sz="4" w:space="0" w:color="auto"/>
            </w:tcBorders>
            <w:shd w:val="clear" w:color="auto" w:fill="A6A6A6" w:themeFill="background1" w:themeFillShade="A6"/>
            <w:noWrap/>
            <w:hideMark/>
          </w:tcPr>
          <w:p w14:paraId="425ABD07"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 of response</w:t>
            </w:r>
          </w:p>
        </w:tc>
        <w:tc>
          <w:tcPr>
            <w:tcW w:w="1090" w:type="pct"/>
            <w:tcBorders>
              <w:top w:val="nil"/>
              <w:left w:val="nil"/>
              <w:bottom w:val="single" w:sz="4" w:space="0" w:color="auto"/>
              <w:right w:val="single" w:sz="4" w:space="0" w:color="auto"/>
            </w:tcBorders>
            <w:shd w:val="clear" w:color="auto" w:fill="A6A6A6" w:themeFill="background1" w:themeFillShade="A6"/>
            <w:hideMark/>
          </w:tcPr>
          <w:p w14:paraId="425ABD08"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 of case (N=17)</w:t>
            </w:r>
          </w:p>
        </w:tc>
      </w:tr>
      <w:tr w:rsidR="008F4BCC" w:rsidRPr="00C67A45" w14:paraId="425ABD0E" w14:textId="77777777" w:rsidTr="008F4BCC">
        <w:trPr>
          <w:trHeight w:val="300"/>
          <w:jc w:val="center"/>
        </w:trPr>
        <w:tc>
          <w:tcPr>
            <w:tcW w:w="1683" w:type="pct"/>
            <w:tcBorders>
              <w:top w:val="nil"/>
              <w:left w:val="single" w:sz="4" w:space="0" w:color="auto"/>
              <w:bottom w:val="single" w:sz="4" w:space="0" w:color="auto"/>
              <w:right w:val="single" w:sz="4" w:space="0" w:color="auto"/>
            </w:tcBorders>
            <w:shd w:val="clear" w:color="auto" w:fill="auto"/>
            <w:noWrap/>
            <w:hideMark/>
          </w:tcPr>
          <w:p w14:paraId="425ABD0A" w14:textId="77777777" w:rsidR="00C67A45" w:rsidRPr="00C67A45" w:rsidRDefault="00C67A45" w:rsidP="00A465D2">
            <w:pPr>
              <w:spacing w:before="120" w:after="120" w:line="240" w:lineRule="auto"/>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Focus group</w:t>
            </w:r>
          </w:p>
        </w:tc>
        <w:tc>
          <w:tcPr>
            <w:tcW w:w="1099" w:type="pct"/>
            <w:tcBorders>
              <w:top w:val="nil"/>
              <w:left w:val="nil"/>
              <w:bottom w:val="single" w:sz="4" w:space="0" w:color="auto"/>
              <w:right w:val="single" w:sz="4" w:space="0" w:color="auto"/>
            </w:tcBorders>
            <w:shd w:val="clear" w:color="auto" w:fill="auto"/>
            <w:noWrap/>
            <w:hideMark/>
          </w:tcPr>
          <w:p w14:paraId="425ABD0B"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3</w:t>
            </w:r>
          </w:p>
        </w:tc>
        <w:tc>
          <w:tcPr>
            <w:tcW w:w="1128" w:type="pct"/>
            <w:tcBorders>
              <w:top w:val="nil"/>
              <w:left w:val="nil"/>
              <w:bottom w:val="single" w:sz="4" w:space="0" w:color="auto"/>
              <w:right w:val="single" w:sz="4" w:space="0" w:color="auto"/>
            </w:tcBorders>
            <w:shd w:val="clear" w:color="auto" w:fill="auto"/>
            <w:noWrap/>
            <w:hideMark/>
          </w:tcPr>
          <w:p w14:paraId="425ABD0C"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15.00</w:t>
            </w:r>
          </w:p>
        </w:tc>
        <w:tc>
          <w:tcPr>
            <w:tcW w:w="1090" w:type="pct"/>
            <w:tcBorders>
              <w:top w:val="nil"/>
              <w:left w:val="nil"/>
              <w:bottom w:val="single" w:sz="4" w:space="0" w:color="auto"/>
              <w:right w:val="single" w:sz="4" w:space="0" w:color="auto"/>
            </w:tcBorders>
            <w:shd w:val="clear" w:color="auto" w:fill="auto"/>
            <w:noWrap/>
            <w:hideMark/>
          </w:tcPr>
          <w:p w14:paraId="425ABD0D"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17.65</w:t>
            </w:r>
          </w:p>
        </w:tc>
      </w:tr>
      <w:tr w:rsidR="008F4BCC" w:rsidRPr="00C67A45" w14:paraId="425ABD13" w14:textId="77777777" w:rsidTr="008F4BCC">
        <w:trPr>
          <w:trHeight w:val="300"/>
          <w:jc w:val="center"/>
        </w:trPr>
        <w:tc>
          <w:tcPr>
            <w:tcW w:w="1683" w:type="pct"/>
            <w:tcBorders>
              <w:top w:val="nil"/>
              <w:left w:val="single" w:sz="4" w:space="0" w:color="auto"/>
              <w:bottom w:val="single" w:sz="4" w:space="0" w:color="auto"/>
              <w:right w:val="single" w:sz="4" w:space="0" w:color="auto"/>
            </w:tcBorders>
            <w:shd w:val="clear" w:color="auto" w:fill="auto"/>
            <w:noWrap/>
            <w:hideMark/>
          </w:tcPr>
          <w:p w14:paraId="425ABD0F" w14:textId="77777777" w:rsidR="00C67A45" w:rsidRPr="00C67A45" w:rsidRDefault="00C67A45" w:rsidP="00A465D2">
            <w:pPr>
              <w:spacing w:before="120" w:after="120" w:line="240" w:lineRule="auto"/>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Questionnaire</w:t>
            </w:r>
          </w:p>
        </w:tc>
        <w:tc>
          <w:tcPr>
            <w:tcW w:w="1099" w:type="pct"/>
            <w:tcBorders>
              <w:top w:val="nil"/>
              <w:left w:val="nil"/>
              <w:bottom w:val="single" w:sz="4" w:space="0" w:color="auto"/>
              <w:right w:val="single" w:sz="4" w:space="0" w:color="auto"/>
            </w:tcBorders>
            <w:shd w:val="clear" w:color="auto" w:fill="auto"/>
            <w:noWrap/>
            <w:hideMark/>
          </w:tcPr>
          <w:p w14:paraId="425ABD10"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9</w:t>
            </w:r>
          </w:p>
        </w:tc>
        <w:tc>
          <w:tcPr>
            <w:tcW w:w="1128" w:type="pct"/>
            <w:tcBorders>
              <w:top w:val="nil"/>
              <w:left w:val="nil"/>
              <w:bottom w:val="single" w:sz="4" w:space="0" w:color="auto"/>
              <w:right w:val="single" w:sz="4" w:space="0" w:color="auto"/>
            </w:tcBorders>
            <w:shd w:val="clear" w:color="auto" w:fill="auto"/>
            <w:noWrap/>
            <w:hideMark/>
          </w:tcPr>
          <w:p w14:paraId="425ABD11"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45.00</w:t>
            </w:r>
          </w:p>
        </w:tc>
        <w:tc>
          <w:tcPr>
            <w:tcW w:w="1090" w:type="pct"/>
            <w:tcBorders>
              <w:top w:val="nil"/>
              <w:left w:val="nil"/>
              <w:bottom w:val="single" w:sz="4" w:space="0" w:color="auto"/>
              <w:right w:val="single" w:sz="4" w:space="0" w:color="auto"/>
            </w:tcBorders>
            <w:shd w:val="clear" w:color="auto" w:fill="auto"/>
            <w:noWrap/>
            <w:hideMark/>
          </w:tcPr>
          <w:p w14:paraId="425ABD12"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52.94</w:t>
            </w:r>
          </w:p>
        </w:tc>
      </w:tr>
      <w:tr w:rsidR="008F4BCC" w:rsidRPr="00C67A45" w14:paraId="425ABD18" w14:textId="77777777" w:rsidTr="008F4BCC">
        <w:trPr>
          <w:trHeight w:val="300"/>
          <w:jc w:val="center"/>
        </w:trPr>
        <w:tc>
          <w:tcPr>
            <w:tcW w:w="1683" w:type="pct"/>
            <w:tcBorders>
              <w:top w:val="nil"/>
              <w:left w:val="single" w:sz="4" w:space="0" w:color="auto"/>
              <w:bottom w:val="single" w:sz="4" w:space="0" w:color="auto"/>
              <w:right w:val="single" w:sz="4" w:space="0" w:color="auto"/>
            </w:tcBorders>
            <w:shd w:val="clear" w:color="auto" w:fill="auto"/>
            <w:noWrap/>
            <w:hideMark/>
          </w:tcPr>
          <w:p w14:paraId="425ABD14" w14:textId="77777777" w:rsidR="00C67A45" w:rsidRPr="00C67A45" w:rsidRDefault="00C67A45" w:rsidP="00A465D2">
            <w:pPr>
              <w:spacing w:before="120" w:after="120" w:line="240" w:lineRule="auto"/>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Other studies/indices</w:t>
            </w:r>
          </w:p>
        </w:tc>
        <w:tc>
          <w:tcPr>
            <w:tcW w:w="1099" w:type="pct"/>
            <w:tcBorders>
              <w:top w:val="nil"/>
              <w:left w:val="nil"/>
              <w:bottom w:val="single" w:sz="4" w:space="0" w:color="auto"/>
              <w:right w:val="single" w:sz="4" w:space="0" w:color="auto"/>
            </w:tcBorders>
            <w:shd w:val="clear" w:color="auto" w:fill="auto"/>
            <w:noWrap/>
            <w:hideMark/>
          </w:tcPr>
          <w:p w14:paraId="425ABD15"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8</w:t>
            </w:r>
          </w:p>
        </w:tc>
        <w:tc>
          <w:tcPr>
            <w:tcW w:w="1128" w:type="pct"/>
            <w:tcBorders>
              <w:top w:val="nil"/>
              <w:left w:val="nil"/>
              <w:bottom w:val="single" w:sz="4" w:space="0" w:color="auto"/>
              <w:right w:val="single" w:sz="4" w:space="0" w:color="auto"/>
            </w:tcBorders>
            <w:shd w:val="clear" w:color="auto" w:fill="auto"/>
            <w:noWrap/>
            <w:hideMark/>
          </w:tcPr>
          <w:p w14:paraId="425ABD16"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40.00</w:t>
            </w:r>
          </w:p>
        </w:tc>
        <w:tc>
          <w:tcPr>
            <w:tcW w:w="1090" w:type="pct"/>
            <w:tcBorders>
              <w:top w:val="nil"/>
              <w:left w:val="nil"/>
              <w:bottom w:val="single" w:sz="4" w:space="0" w:color="auto"/>
              <w:right w:val="single" w:sz="4" w:space="0" w:color="auto"/>
            </w:tcBorders>
            <w:shd w:val="clear" w:color="auto" w:fill="auto"/>
            <w:noWrap/>
            <w:hideMark/>
          </w:tcPr>
          <w:p w14:paraId="425ABD17" w14:textId="77777777" w:rsidR="00C67A45" w:rsidRPr="00C67A45" w:rsidRDefault="00C67A45" w:rsidP="00A465D2">
            <w:pPr>
              <w:spacing w:before="120" w:after="120" w:line="240" w:lineRule="auto"/>
              <w:jc w:val="right"/>
              <w:rPr>
                <w:rFonts w:ascii="Times New Roman" w:eastAsia="Times New Roman" w:hAnsi="Times New Roman" w:cs="Times New Roman"/>
                <w:color w:val="000000"/>
                <w:sz w:val="24"/>
                <w:szCs w:val="24"/>
              </w:rPr>
            </w:pPr>
            <w:r w:rsidRPr="00C67A45">
              <w:rPr>
                <w:rFonts w:ascii="Times New Roman" w:eastAsia="Times New Roman" w:hAnsi="Times New Roman" w:cs="Times New Roman"/>
                <w:color w:val="000000"/>
                <w:sz w:val="24"/>
                <w:szCs w:val="24"/>
              </w:rPr>
              <w:t>47.06</w:t>
            </w:r>
          </w:p>
        </w:tc>
      </w:tr>
      <w:tr w:rsidR="008F4BCC" w:rsidRPr="00C67A45" w14:paraId="425ABD1D" w14:textId="77777777" w:rsidTr="008F4BCC">
        <w:trPr>
          <w:trHeight w:val="300"/>
          <w:jc w:val="center"/>
        </w:trPr>
        <w:tc>
          <w:tcPr>
            <w:tcW w:w="1683" w:type="pct"/>
            <w:tcBorders>
              <w:top w:val="nil"/>
              <w:left w:val="single" w:sz="4" w:space="0" w:color="auto"/>
              <w:bottom w:val="single" w:sz="4" w:space="0" w:color="auto"/>
              <w:right w:val="single" w:sz="4" w:space="0" w:color="auto"/>
            </w:tcBorders>
            <w:shd w:val="clear" w:color="auto" w:fill="auto"/>
            <w:noWrap/>
            <w:hideMark/>
          </w:tcPr>
          <w:p w14:paraId="425ABD19" w14:textId="77777777" w:rsidR="00C67A45" w:rsidRPr="00C67A45" w:rsidRDefault="00C67A45" w:rsidP="00A465D2">
            <w:pPr>
              <w:spacing w:before="120" w:after="120" w:line="240" w:lineRule="auto"/>
              <w:jc w:val="center"/>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Total</w:t>
            </w:r>
          </w:p>
        </w:tc>
        <w:tc>
          <w:tcPr>
            <w:tcW w:w="1099" w:type="pct"/>
            <w:tcBorders>
              <w:top w:val="nil"/>
              <w:left w:val="nil"/>
              <w:bottom w:val="single" w:sz="4" w:space="0" w:color="auto"/>
              <w:right w:val="single" w:sz="4" w:space="0" w:color="auto"/>
            </w:tcBorders>
            <w:shd w:val="clear" w:color="auto" w:fill="auto"/>
            <w:noWrap/>
            <w:hideMark/>
          </w:tcPr>
          <w:p w14:paraId="425ABD1A" w14:textId="77777777" w:rsidR="00C67A45" w:rsidRPr="00C67A45" w:rsidRDefault="00C67A45" w:rsidP="00A465D2">
            <w:pPr>
              <w:spacing w:before="120" w:after="120" w:line="240" w:lineRule="auto"/>
              <w:jc w:val="right"/>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20</w:t>
            </w:r>
          </w:p>
        </w:tc>
        <w:tc>
          <w:tcPr>
            <w:tcW w:w="1128" w:type="pct"/>
            <w:tcBorders>
              <w:top w:val="nil"/>
              <w:left w:val="nil"/>
              <w:bottom w:val="single" w:sz="4" w:space="0" w:color="auto"/>
              <w:right w:val="single" w:sz="4" w:space="0" w:color="auto"/>
            </w:tcBorders>
            <w:shd w:val="clear" w:color="auto" w:fill="auto"/>
            <w:noWrap/>
            <w:hideMark/>
          </w:tcPr>
          <w:p w14:paraId="425ABD1B" w14:textId="77777777" w:rsidR="00C67A45" w:rsidRPr="00C67A45" w:rsidRDefault="00C67A45" w:rsidP="00A465D2">
            <w:pPr>
              <w:spacing w:before="120" w:after="120" w:line="240" w:lineRule="auto"/>
              <w:jc w:val="right"/>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100.00</w:t>
            </w:r>
          </w:p>
        </w:tc>
        <w:tc>
          <w:tcPr>
            <w:tcW w:w="1090" w:type="pct"/>
            <w:tcBorders>
              <w:top w:val="nil"/>
              <w:left w:val="nil"/>
              <w:bottom w:val="single" w:sz="4" w:space="0" w:color="auto"/>
              <w:right w:val="single" w:sz="4" w:space="0" w:color="auto"/>
            </w:tcBorders>
            <w:shd w:val="clear" w:color="auto" w:fill="auto"/>
            <w:noWrap/>
            <w:hideMark/>
          </w:tcPr>
          <w:p w14:paraId="425ABD1C" w14:textId="77777777" w:rsidR="00C67A45" w:rsidRPr="00C67A45" w:rsidRDefault="00C67A45" w:rsidP="00A465D2">
            <w:pPr>
              <w:spacing w:before="120" w:after="120" w:line="240" w:lineRule="auto"/>
              <w:jc w:val="right"/>
              <w:rPr>
                <w:rFonts w:ascii="Times New Roman" w:eastAsia="Times New Roman" w:hAnsi="Times New Roman" w:cs="Times New Roman"/>
                <w:b/>
                <w:bCs/>
                <w:color w:val="000000"/>
                <w:sz w:val="24"/>
                <w:szCs w:val="24"/>
              </w:rPr>
            </w:pPr>
            <w:r w:rsidRPr="00C67A45">
              <w:rPr>
                <w:rFonts w:ascii="Times New Roman" w:eastAsia="Times New Roman" w:hAnsi="Times New Roman" w:cs="Times New Roman"/>
                <w:b/>
                <w:bCs/>
                <w:color w:val="000000"/>
                <w:sz w:val="24"/>
                <w:szCs w:val="24"/>
              </w:rPr>
              <w:t>117.65</w:t>
            </w:r>
          </w:p>
        </w:tc>
      </w:tr>
    </w:tbl>
    <w:p w14:paraId="425ABD1E" w14:textId="77777777" w:rsidR="00213A99" w:rsidRPr="00A465D2" w:rsidRDefault="00213A99" w:rsidP="00213A99">
      <w:pPr>
        <w:spacing w:before="240" w:after="240" w:line="240" w:lineRule="auto"/>
        <w:jc w:val="both"/>
        <w:rPr>
          <w:rFonts w:ascii="Times New Roman" w:eastAsia="Calibri" w:hAnsi="Times New Roman" w:cs="Times New Roman"/>
          <w:szCs w:val="22"/>
        </w:rPr>
      </w:pPr>
      <w:r w:rsidRPr="00A465D2">
        <w:rPr>
          <w:rFonts w:ascii="Times New Roman" w:eastAsia="Calibri" w:hAnsi="Times New Roman" w:cs="Times New Roman"/>
          <w:szCs w:val="22"/>
        </w:rPr>
        <w:t>Source: Financial Literacy Survey (2016)</w:t>
      </w:r>
    </w:p>
    <w:p w14:paraId="425ABD1F" w14:textId="77777777" w:rsidR="00213A99" w:rsidRDefault="00213A9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25ABD20" w14:textId="77777777" w:rsidR="00C67A45" w:rsidRDefault="00213A99" w:rsidP="00913A7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term of an existence of financial education strategies, 76% of APEC economies have financial strategies while 24% do not have financial education strategies. </w:t>
      </w:r>
      <w:r w:rsidRPr="00213A99">
        <w:rPr>
          <w:rFonts w:ascii="Times New Roman" w:eastAsia="Calibri" w:hAnsi="Times New Roman" w:cs="Times New Roman"/>
          <w:sz w:val="24"/>
          <w:szCs w:val="24"/>
        </w:rPr>
        <w:t>Brunei, Korea, Russia, and Thailand</w:t>
      </w:r>
      <w:r w:rsidR="001223BE">
        <w:rPr>
          <w:rFonts w:ascii="Times New Roman" w:eastAsia="Calibri" w:hAnsi="Times New Roman" w:cs="Times New Roman"/>
          <w:sz w:val="24"/>
          <w:szCs w:val="24"/>
        </w:rPr>
        <w:t xml:space="preserve"> are among the economies without a financial education strategy</w:t>
      </w:r>
      <w:r>
        <w:rPr>
          <w:rFonts w:ascii="Times New Roman" w:eastAsia="Calibri" w:hAnsi="Times New Roman" w:cs="Times New Roman"/>
          <w:sz w:val="24"/>
          <w:szCs w:val="24"/>
        </w:rPr>
        <w:t xml:space="preserve">. </w:t>
      </w:r>
    </w:p>
    <w:p w14:paraId="425ABD21" w14:textId="27B716F0" w:rsidR="00213A99" w:rsidRDefault="00213A99" w:rsidP="00213A99">
      <w:pPr>
        <w:pStyle w:val="Caption"/>
        <w:keepNext/>
        <w:jc w:val="both"/>
        <w:rPr>
          <w:rFonts w:ascii="Times New Roman" w:hAnsi="Times New Roman" w:cs="Times New Roman"/>
          <w:b/>
          <w:bCs/>
          <w:i w:val="0"/>
          <w:iCs w:val="0"/>
          <w:sz w:val="24"/>
          <w:szCs w:val="24"/>
        </w:rPr>
      </w:pPr>
      <w:r w:rsidRPr="00213A99">
        <w:rPr>
          <w:rFonts w:ascii="Times New Roman" w:hAnsi="Times New Roman" w:cs="Times New Roman"/>
          <w:b/>
          <w:bCs/>
          <w:i w:val="0"/>
          <w:iCs w:val="0"/>
          <w:sz w:val="24"/>
          <w:szCs w:val="24"/>
        </w:rPr>
        <w:t xml:space="preserve">Figure </w:t>
      </w:r>
      <w:r w:rsidRPr="00213A99">
        <w:rPr>
          <w:rFonts w:ascii="Times New Roman" w:hAnsi="Times New Roman" w:cs="Times New Roman"/>
          <w:b/>
          <w:bCs/>
          <w:i w:val="0"/>
          <w:iCs w:val="0"/>
          <w:sz w:val="24"/>
          <w:szCs w:val="24"/>
        </w:rPr>
        <w:fldChar w:fldCharType="begin"/>
      </w:r>
      <w:r w:rsidRPr="00213A99">
        <w:rPr>
          <w:rFonts w:ascii="Times New Roman" w:hAnsi="Times New Roman" w:cs="Times New Roman"/>
          <w:b/>
          <w:bCs/>
          <w:i w:val="0"/>
          <w:iCs w:val="0"/>
          <w:sz w:val="24"/>
          <w:szCs w:val="24"/>
        </w:rPr>
        <w:instrText xml:space="preserve"> SEQ Figure \* ARABIC </w:instrText>
      </w:r>
      <w:r w:rsidRPr="00213A99">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3</w:t>
      </w:r>
      <w:r w:rsidRPr="00213A99">
        <w:rPr>
          <w:rFonts w:ascii="Times New Roman" w:hAnsi="Times New Roman" w:cs="Times New Roman"/>
          <w:b/>
          <w:bCs/>
          <w:i w:val="0"/>
          <w:iCs w:val="0"/>
          <w:sz w:val="24"/>
          <w:szCs w:val="24"/>
        </w:rPr>
        <w:fldChar w:fldCharType="end"/>
      </w:r>
      <w:r w:rsidRPr="00213A99">
        <w:rPr>
          <w:rFonts w:ascii="Times New Roman" w:hAnsi="Times New Roman" w:cs="Times New Roman"/>
          <w:b/>
          <w:bCs/>
          <w:i w:val="0"/>
          <w:iCs w:val="0"/>
          <w:sz w:val="24"/>
          <w:szCs w:val="24"/>
        </w:rPr>
        <w:t xml:space="preserve"> Proportion of </w:t>
      </w:r>
      <w:r w:rsidR="00F56E72">
        <w:rPr>
          <w:rFonts w:ascii="Times New Roman" w:hAnsi="Times New Roman" w:cs="Times New Roman"/>
          <w:b/>
          <w:bCs/>
          <w:i w:val="0"/>
          <w:iCs w:val="0"/>
          <w:sz w:val="24"/>
          <w:szCs w:val="24"/>
        </w:rPr>
        <w:t>econom</w:t>
      </w:r>
      <w:r w:rsidRPr="00213A99">
        <w:rPr>
          <w:rFonts w:ascii="Times New Roman" w:hAnsi="Times New Roman" w:cs="Times New Roman"/>
          <w:b/>
          <w:bCs/>
          <w:i w:val="0"/>
          <w:iCs w:val="0"/>
          <w:sz w:val="24"/>
          <w:szCs w:val="24"/>
        </w:rPr>
        <w:t>ies having financial education strategies</w:t>
      </w:r>
    </w:p>
    <w:p w14:paraId="425ABD22" w14:textId="77777777" w:rsidR="00213A99" w:rsidRDefault="00213A99" w:rsidP="00213A99">
      <w:pPr>
        <w:pStyle w:val="Caption"/>
        <w:keepNext/>
        <w:jc w:val="center"/>
        <w:rPr>
          <w:rFonts w:ascii="Times New Roman" w:hAnsi="Times New Roman" w:cs="Times New Roman"/>
          <w:b/>
          <w:bCs/>
          <w:i w:val="0"/>
          <w:iCs w:val="0"/>
          <w:sz w:val="24"/>
          <w:szCs w:val="24"/>
        </w:rPr>
      </w:pPr>
      <w:r>
        <w:rPr>
          <w:noProof/>
        </w:rPr>
        <w:drawing>
          <wp:inline distT="0" distB="0" distL="0" distR="0" wp14:anchorId="425ABE21" wp14:editId="425ABE22">
            <wp:extent cx="4563374" cy="226012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5ABD23" w14:textId="77777777" w:rsidR="00213A99" w:rsidRDefault="00213A99" w:rsidP="00213A99">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D24" w14:textId="336CA226" w:rsidR="009F1046" w:rsidRPr="009F1046" w:rsidRDefault="009F1046" w:rsidP="00213A99">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Sixty-five percent of APEC </w:t>
      </w:r>
      <w:r w:rsidR="001223BE">
        <w:rPr>
          <w:rFonts w:ascii="Times New Roman" w:eastAsia="Calibri" w:hAnsi="Times New Roman" w:cs="Times New Roman"/>
          <w:sz w:val="24"/>
          <w:szCs w:val="24"/>
        </w:rPr>
        <w:t xml:space="preserve">economies </w:t>
      </w:r>
      <w:r>
        <w:rPr>
          <w:rFonts w:ascii="Times New Roman" w:eastAsia="Calibri" w:hAnsi="Times New Roman" w:cs="Times New Roman"/>
          <w:sz w:val="24"/>
          <w:szCs w:val="24"/>
        </w:rPr>
        <w:t xml:space="preserve">pointed out that they include financial literacy for SMEs in their strategies. However, there are </w:t>
      </w:r>
      <w:r w:rsidR="001223BE">
        <w:rPr>
          <w:rFonts w:ascii="Times New Roman" w:eastAsia="Calibri" w:hAnsi="Times New Roman" w:cs="Times New Roman"/>
          <w:sz w:val="24"/>
          <w:szCs w:val="24"/>
        </w:rPr>
        <w:t xml:space="preserve">six economies </w:t>
      </w:r>
      <w:r>
        <w:rPr>
          <w:rFonts w:ascii="Times New Roman" w:eastAsia="Calibri" w:hAnsi="Times New Roman" w:cs="Times New Roman"/>
          <w:sz w:val="24"/>
          <w:szCs w:val="24"/>
        </w:rPr>
        <w:t xml:space="preserve">(about 35%) </w:t>
      </w:r>
      <w:r w:rsidR="001223BE">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have not yet included the issue in their strategies. These six </w:t>
      </w:r>
      <w:r w:rsidR="00F56E72">
        <w:rPr>
          <w:rFonts w:ascii="Times New Roman" w:eastAsia="Calibri" w:hAnsi="Times New Roman" w:cs="Times New Roman"/>
          <w:sz w:val="24"/>
          <w:szCs w:val="24"/>
        </w:rPr>
        <w:t>econom</w:t>
      </w:r>
      <w:r>
        <w:rPr>
          <w:rFonts w:ascii="Times New Roman" w:eastAsia="Calibri" w:hAnsi="Times New Roman" w:cs="Times New Roman"/>
          <w:sz w:val="24"/>
          <w:szCs w:val="24"/>
        </w:rPr>
        <w:t xml:space="preserve">ies are </w:t>
      </w:r>
      <w:r w:rsidRPr="009F1046">
        <w:rPr>
          <w:rFonts w:ascii="Times New Roman" w:eastAsia="Calibri" w:hAnsi="Times New Roman" w:cs="Times New Roman"/>
          <w:sz w:val="24"/>
          <w:szCs w:val="24"/>
        </w:rPr>
        <w:t>Brunei, Canada, Japan, Korea, Russia, and Thailand</w:t>
      </w:r>
      <w:r>
        <w:rPr>
          <w:rFonts w:ascii="Times New Roman" w:eastAsia="Calibri" w:hAnsi="Times New Roman" w:cs="Times New Roman"/>
          <w:sz w:val="24"/>
          <w:szCs w:val="24"/>
        </w:rPr>
        <w:t xml:space="preserve">.  </w:t>
      </w:r>
    </w:p>
    <w:p w14:paraId="425ABD25" w14:textId="2FED0940" w:rsidR="009F1046" w:rsidRPr="009F1046" w:rsidRDefault="009F1046" w:rsidP="009F1046">
      <w:pPr>
        <w:pStyle w:val="Caption"/>
        <w:keepNext/>
        <w:jc w:val="both"/>
        <w:rPr>
          <w:rFonts w:ascii="Times New Roman" w:hAnsi="Times New Roman" w:cs="Times New Roman"/>
          <w:b/>
          <w:bCs/>
          <w:i w:val="0"/>
          <w:iCs w:val="0"/>
          <w:sz w:val="24"/>
          <w:szCs w:val="24"/>
        </w:rPr>
      </w:pPr>
      <w:r w:rsidRPr="009F1046">
        <w:rPr>
          <w:rFonts w:ascii="Times New Roman" w:hAnsi="Times New Roman" w:cs="Times New Roman"/>
          <w:b/>
          <w:bCs/>
          <w:i w:val="0"/>
          <w:iCs w:val="0"/>
          <w:sz w:val="24"/>
          <w:szCs w:val="24"/>
        </w:rPr>
        <w:t xml:space="preserve">Figure </w:t>
      </w:r>
      <w:r w:rsidRPr="009F1046">
        <w:rPr>
          <w:rFonts w:ascii="Times New Roman" w:hAnsi="Times New Roman" w:cs="Times New Roman"/>
          <w:b/>
          <w:bCs/>
          <w:i w:val="0"/>
          <w:iCs w:val="0"/>
          <w:sz w:val="24"/>
          <w:szCs w:val="24"/>
        </w:rPr>
        <w:fldChar w:fldCharType="begin"/>
      </w:r>
      <w:r w:rsidRPr="009F1046">
        <w:rPr>
          <w:rFonts w:ascii="Times New Roman" w:hAnsi="Times New Roman" w:cs="Times New Roman"/>
          <w:b/>
          <w:bCs/>
          <w:i w:val="0"/>
          <w:iCs w:val="0"/>
          <w:sz w:val="24"/>
          <w:szCs w:val="24"/>
        </w:rPr>
        <w:instrText xml:space="preserve"> SEQ Figure \* ARABIC </w:instrText>
      </w:r>
      <w:r w:rsidRPr="009F1046">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4</w:t>
      </w:r>
      <w:r w:rsidRPr="009F1046">
        <w:rPr>
          <w:rFonts w:ascii="Times New Roman" w:hAnsi="Times New Roman" w:cs="Times New Roman"/>
          <w:b/>
          <w:bCs/>
          <w:i w:val="0"/>
          <w:iCs w:val="0"/>
          <w:sz w:val="24"/>
          <w:szCs w:val="24"/>
        </w:rPr>
        <w:fldChar w:fldCharType="end"/>
      </w:r>
      <w:r w:rsidRPr="009F1046">
        <w:rPr>
          <w:rFonts w:ascii="Times New Roman" w:hAnsi="Times New Roman" w:cs="Times New Roman"/>
          <w:b/>
          <w:bCs/>
          <w:i w:val="0"/>
          <w:iCs w:val="0"/>
          <w:sz w:val="24"/>
          <w:szCs w:val="24"/>
        </w:rPr>
        <w:t xml:space="preserve"> Proportion of </w:t>
      </w:r>
      <w:r w:rsidR="00F56E72">
        <w:rPr>
          <w:rFonts w:ascii="Times New Roman" w:hAnsi="Times New Roman" w:cs="Times New Roman"/>
          <w:b/>
          <w:bCs/>
          <w:i w:val="0"/>
          <w:iCs w:val="0"/>
          <w:sz w:val="24"/>
          <w:szCs w:val="24"/>
        </w:rPr>
        <w:t>econom</w:t>
      </w:r>
      <w:r w:rsidRPr="009F1046">
        <w:rPr>
          <w:rFonts w:ascii="Times New Roman" w:hAnsi="Times New Roman" w:cs="Times New Roman"/>
          <w:b/>
          <w:bCs/>
          <w:i w:val="0"/>
          <w:iCs w:val="0"/>
          <w:sz w:val="24"/>
          <w:szCs w:val="24"/>
        </w:rPr>
        <w:t>ies integrating financial literacy for SMEs in their strategies</w:t>
      </w:r>
    </w:p>
    <w:p w14:paraId="425ABD26" w14:textId="77777777" w:rsidR="00213A99" w:rsidRDefault="009F1046" w:rsidP="009F1046">
      <w:pPr>
        <w:jc w:val="center"/>
      </w:pPr>
      <w:r>
        <w:rPr>
          <w:noProof/>
        </w:rPr>
        <w:drawing>
          <wp:inline distT="0" distB="0" distL="0" distR="0" wp14:anchorId="425ABE23" wp14:editId="425ABE24">
            <wp:extent cx="4554747" cy="250166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5ABD27" w14:textId="77777777" w:rsidR="009F1046" w:rsidRDefault="009F1046" w:rsidP="009F1046">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D28" w14:textId="77777777" w:rsidR="009F1046" w:rsidRDefault="009F1046" w:rsidP="009F1046">
      <w:pPr>
        <w:jc w:val="center"/>
      </w:pPr>
    </w:p>
    <w:p w14:paraId="425ABD29" w14:textId="77777777" w:rsidR="009F1046" w:rsidRPr="008F4BCC" w:rsidRDefault="008F4BCC" w:rsidP="008F4BCC">
      <w:pPr>
        <w:spacing w:before="240" w:after="240" w:line="240" w:lineRule="auto"/>
        <w:jc w:val="both"/>
        <w:rPr>
          <w:rFonts w:ascii="Times New Roman" w:hAnsi="Times New Roman" w:cs="Times New Roman"/>
          <w:sz w:val="24"/>
          <w:szCs w:val="24"/>
        </w:rPr>
      </w:pPr>
      <w:r w:rsidRPr="008F4BCC">
        <w:rPr>
          <w:rFonts w:ascii="Times New Roman" w:hAnsi="Times New Roman" w:cs="Times New Roman"/>
          <w:sz w:val="24"/>
          <w:szCs w:val="24"/>
        </w:rPr>
        <w:lastRenderedPageBreak/>
        <w:t xml:space="preserve">Most </w:t>
      </w:r>
      <w:r>
        <w:rPr>
          <w:rFonts w:ascii="Times New Roman" w:hAnsi="Times New Roman" w:cs="Times New Roman"/>
          <w:sz w:val="24"/>
          <w:szCs w:val="24"/>
        </w:rPr>
        <w:t>financial education policy has been developed by “National/Central Bank</w:t>
      </w:r>
      <w:r w:rsidR="001223BE">
        <w:rPr>
          <w:rFonts w:ascii="Times New Roman" w:hAnsi="Times New Roman" w:cs="Times New Roman"/>
          <w:sz w:val="24"/>
          <w:szCs w:val="24"/>
        </w:rPr>
        <w:t>s</w:t>
      </w:r>
      <w:r>
        <w:rPr>
          <w:rFonts w:ascii="Times New Roman" w:hAnsi="Times New Roman" w:cs="Times New Roman"/>
          <w:sz w:val="24"/>
          <w:szCs w:val="24"/>
        </w:rPr>
        <w:t>.</w:t>
      </w:r>
      <w:r w:rsidR="001223BE">
        <w:rPr>
          <w:rFonts w:ascii="Times New Roman" w:hAnsi="Times New Roman" w:cs="Times New Roman"/>
          <w:sz w:val="24"/>
          <w:szCs w:val="24"/>
        </w:rPr>
        <w:t>”</w:t>
      </w:r>
      <w:r>
        <w:rPr>
          <w:rFonts w:ascii="Times New Roman" w:hAnsi="Times New Roman" w:cs="Times New Roman"/>
          <w:sz w:val="24"/>
          <w:szCs w:val="24"/>
        </w:rPr>
        <w:t xml:space="preserve"> According to the survey, it accounts for 33.33%</w:t>
      </w:r>
      <w:r w:rsidR="001223BE">
        <w:rPr>
          <w:rFonts w:ascii="Times New Roman" w:hAnsi="Times New Roman" w:cs="Times New Roman"/>
          <w:sz w:val="24"/>
          <w:szCs w:val="24"/>
        </w:rPr>
        <w:t>,</w:t>
      </w:r>
      <w:r>
        <w:rPr>
          <w:rFonts w:ascii="Times New Roman" w:hAnsi="Times New Roman" w:cs="Times New Roman"/>
          <w:sz w:val="24"/>
          <w:szCs w:val="24"/>
        </w:rPr>
        <w:t xml:space="preserve"> </w:t>
      </w:r>
      <w:r w:rsidR="001223BE">
        <w:rPr>
          <w:rFonts w:ascii="Times New Roman" w:hAnsi="Times New Roman" w:cs="Times New Roman"/>
          <w:sz w:val="24"/>
          <w:szCs w:val="24"/>
        </w:rPr>
        <w:t>f</w:t>
      </w:r>
      <w:r>
        <w:rPr>
          <w:rFonts w:ascii="Times New Roman" w:hAnsi="Times New Roman" w:cs="Times New Roman"/>
          <w:sz w:val="24"/>
          <w:szCs w:val="24"/>
        </w:rPr>
        <w:t>ollowed by “Ministry of Finance and Ministry of Education</w:t>
      </w:r>
      <w:r w:rsidR="001223BE">
        <w:rPr>
          <w:rFonts w:ascii="Times New Roman" w:hAnsi="Times New Roman" w:cs="Times New Roman"/>
          <w:sz w:val="24"/>
          <w:szCs w:val="24"/>
        </w:rPr>
        <w:t>,</w:t>
      </w:r>
      <w:r>
        <w:rPr>
          <w:rFonts w:ascii="Times New Roman" w:hAnsi="Times New Roman" w:cs="Times New Roman"/>
          <w:sz w:val="24"/>
          <w:szCs w:val="24"/>
        </w:rPr>
        <w:t xml:space="preserve">” </w:t>
      </w:r>
      <w:r w:rsidR="001C539A">
        <w:rPr>
          <w:rFonts w:ascii="Times New Roman" w:hAnsi="Times New Roman" w:cs="Times New Roman"/>
          <w:sz w:val="24"/>
          <w:szCs w:val="24"/>
        </w:rPr>
        <w:t>which account for 24.24% and 18.18%</w:t>
      </w:r>
      <w:r w:rsidR="001223BE">
        <w:rPr>
          <w:rFonts w:ascii="Times New Roman" w:hAnsi="Times New Roman" w:cs="Times New Roman"/>
          <w:sz w:val="24"/>
          <w:szCs w:val="24"/>
        </w:rPr>
        <w:t>,</w:t>
      </w:r>
      <w:r w:rsidR="001C539A">
        <w:rPr>
          <w:rFonts w:ascii="Times New Roman" w:hAnsi="Times New Roman" w:cs="Times New Roman"/>
          <w:sz w:val="24"/>
          <w:szCs w:val="24"/>
        </w:rPr>
        <w:t xml:space="preserve"> respectively. </w:t>
      </w:r>
    </w:p>
    <w:p w14:paraId="425ABD2A" w14:textId="77777777" w:rsidR="00A465D2" w:rsidRPr="00A465D2" w:rsidRDefault="00A465D2" w:rsidP="00A465D2">
      <w:pPr>
        <w:pStyle w:val="Caption"/>
        <w:keepNext/>
        <w:rPr>
          <w:rFonts w:ascii="Times New Roman" w:hAnsi="Times New Roman" w:cs="Times New Roman"/>
          <w:b/>
          <w:bCs/>
          <w:i w:val="0"/>
          <w:iCs w:val="0"/>
          <w:sz w:val="24"/>
          <w:szCs w:val="32"/>
        </w:rPr>
      </w:pPr>
      <w:r w:rsidRPr="00A465D2">
        <w:rPr>
          <w:rFonts w:ascii="Times New Roman" w:hAnsi="Times New Roman" w:cs="Times New Roman"/>
          <w:b/>
          <w:bCs/>
          <w:i w:val="0"/>
          <w:iCs w:val="0"/>
          <w:sz w:val="24"/>
          <w:szCs w:val="32"/>
        </w:rPr>
        <w:t xml:space="preserve">Table </w:t>
      </w:r>
      <w:r w:rsidRPr="00A465D2">
        <w:rPr>
          <w:rFonts w:ascii="Times New Roman" w:hAnsi="Times New Roman" w:cs="Times New Roman"/>
          <w:b/>
          <w:bCs/>
          <w:i w:val="0"/>
          <w:iCs w:val="0"/>
          <w:sz w:val="24"/>
          <w:szCs w:val="32"/>
        </w:rPr>
        <w:fldChar w:fldCharType="begin"/>
      </w:r>
      <w:r w:rsidRPr="00A465D2">
        <w:rPr>
          <w:rFonts w:ascii="Times New Roman" w:hAnsi="Times New Roman" w:cs="Times New Roman"/>
          <w:b/>
          <w:bCs/>
          <w:i w:val="0"/>
          <w:iCs w:val="0"/>
          <w:sz w:val="24"/>
          <w:szCs w:val="32"/>
        </w:rPr>
        <w:instrText xml:space="preserve"> SEQ Table \* ARABIC </w:instrText>
      </w:r>
      <w:r w:rsidRPr="00A465D2">
        <w:rPr>
          <w:rFonts w:ascii="Times New Roman" w:hAnsi="Times New Roman" w:cs="Times New Roman"/>
          <w:b/>
          <w:bCs/>
          <w:i w:val="0"/>
          <w:iCs w:val="0"/>
          <w:sz w:val="24"/>
          <w:szCs w:val="32"/>
        </w:rPr>
        <w:fldChar w:fldCharType="separate"/>
      </w:r>
      <w:r w:rsidR="00BF12A8">
        <w:rPr>
          <w:rFonts w:ascii="Times New Roman" w:hAnsi="Times New Roman" w:cs="Times New Roman"/>
          <w:b/>
          <w:bCs/>
          <w:i w:val="0"/>
          <w:iCs w:val="0"/>
          <w:noProof/>
          <w:sz w:val="24"/>
          <w:szCs w:val="32"/>
        </w:rPr>
        <w:t>2</w:t>
      </w:r>
      <w:r w:rsidRPr="00A465D2">
        <w:rPr>
          <w:rFonts w:ascii="Times New Roman" w:hAnsi="Times New Roman" w:cs="Times New Roman"/>
          <w:b/>
          <w:bCs/>
          <w:i w:val="0"/>
          <w:iCs w:val="0"/>
          <w:sz w:val="24"/>
          <w:szCs w:val="32"/>
        </w:rPr>
        <w:fldChar w:fldCharType="end"/>
      </w:r>
      <w:r w:rsidRPr="00A465D2">
        <w:rPr>
          <w:rFonts w:ascii="Times New Roman" w:hAnsi="Times New Roman" w:cs="Times New Roman"/>
          <w:b/>
          <w:bCs/>
          <w:i w:val="0"/>
          <w:iCs w:val="0"/>
          <w:sz w:val="24"/>
          <w:szCs w:val="32"/>
        </w:rPr>
        <w:t xml:space="preserve"> Proportions of agencies </w:t>
      </w:r>
      <w:r w:rsidR="001223BE" w:rsidRPr="00A465D2">
        <w:rPr>
          <w:rFonts w:ascii="Times New Roman" w:hAnsi="Times New Roman" w:cs="Times New Roman"/>
          <w:b/>
          <w:bCs/>
          <w:i w:val="0"/>
          <w:iCs w:val="0"/>
          <w:sz w:val="24"/>
          <w:szCs w:val="32"/>
        </w:rPr>
        <w:t>involv</w:t>
      </w:r>
      <w:r w:rsidR="001223BE">
        <w:rPr>
          <w:rFonts w:ascii="Times New Roman" w:hAnsi="Times New Roman" w:cs="Times New Roman"/>
          <w:b/>
          <w:bCs/>
          <w:i w:val="0"/>
          <w:iCs w:val="0"/>
          <w:sz w:val="24"/>
          <w:szCs w:val="32"/>
        </w:rPr>
        <w:t>ed</w:t>
      </w:r>
      <w:r w:rsidR="001223BE" w:rsidRPr="00A465D2">
        <w:rPr>
          <w:rFonts w:ascii="Times New Roman" w:hAnsi="Times New Roman" w:cs="Times New Roman"/>
          <w:b/>
          <w:bCs/>
          <w:i w:val="0"/>
          <w:iCs w:val="0"/>
          <w:sz w:val="24"/>
          <w:szCs w:val="32"/>
        </w:rPr>
        <w:t xml:space="preserve"> </w:t>
      </w:r>
      <w:r w:rsidRPr="00A465D2">
        <w:rPr>
          <w:rFonts w:ascii="Times New Roman" w:hAnsi="Times New Roman" w:cs="Times New Roman"/>
          <w:b/>
          <w:bCs/>
          <w:i w:val="0"/>
          <w:iCs w:val="0"/>
          <w:sz w:val="24"/>
          <w:szCs w:val="32"/>
        </w:rPr>
        <w:t>in financial education strategies</w:t>
      </w:r>
    </w:p>
    <w:tbl>
      <w:tblPr>
        <w:tblW w:w="5000" w:type="pct"/>
        <w:tblLook w:val="04A0" w:firstRow="1" w:lastRow="0" w:firstColumn="1" w:lastColumn="0" w:noHBand="0" w:noVBand="1"/>
      </w:tblPr>
      <w:tblGrid>
        <w:gridCol w:w="3717"/>
        <w:gridCol w:w="1701"/>
        <w:gridCol w:w="1890"/>
        <w:gridCol w:w="2268"/>
      </w:tblGrid>
      <w:tr w:rsidR="008F4BCC" w:rsidRPr="008F4BCC" w14:paraId="425ABD2D" w14:textId="77777777" w:rsidTr="008F4BCC">
        <w:trPr>
          <w:trHeight w:val="300"/>
        </w:trPr>
        <w:tc>
          <w:tcPr>
            <w:tcW w:w="194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25ABD2B"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Agencies</w:t>
            </w:r>
          </w:p>
        </w:tc>
        <w:tc>
          <w:tcPr>
            <w:tcW w:w="3059" w:type="pct"/>
            <w:gridSpan w:val="3"/>
            <w:tcBorders>
              <w:top w:val="single" w:sz="4" w:space="0" w:color="auto"/>
              <w:left w:val="nil"/>
              <w:bottom w:val="single" w:sz="4" w:space="0" w:color="auto"/>
              <w:right w:val="single" w:sz="4" w:space="0" w:color="auto"/>
            </w:tcBorders>
            <w:shd w:val="clear" w:color="auto" w:fill="BFBFBF" w:themeFill="background1" w:themeFillShade="BF"/>
            <w:noWrap/>
            <w:hideMark/>
          </w:tcPr>
          <w:p w14:paraId="425ABD2C"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Result</w:t>
            </w:r>
          </w:p>
        </w:tc>
      </w:tr>
      <w:tr w:rsidR="008F4BCC" w:rsidRPr="008F4BCC" w14:paraId="425ABD32" w14:textId="77777777" w:rsidTr="008F4BCC">
        <w:trPr>
          <w:trHeight w:val="600"/>
        </w:trPr>
        <w:tc>
          <w:tcPr>
            <w:tcW w:w="194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ABD2E" w14:textId="77777777" w:rsidR="008F4BCC" w:rsidRPr="008F4BCC" w:rsidRDefault="008F4BCC" w:rsidP="00A465D2">
            <w:pPr>
              <w:spacing w:before="120" w:after="120" w:line="240" w:lineRule="auto"/>
              <w:rPr>
                <w:rFonts w:ascii="Times New Roman" w:eastAsia="Times New Roman" w:hAnsi="Times New Roman" w:cs="Times New Roman"/>
                <w:b/>
                <w:bCs/>
                <w:color w:val="000000"/>
                <w:sz w:val="24"/>
                <w:szCs w:val="24"/>
              </w:rPr>
            </w:pPr>
          </w:p>
        </w:tc>
        <w:tc>
          <w:tcPr>
            <w:tcW w:w="888" w:type="pct"/>
            <w:tcBorders>
              <w:top w:val="nil"/>
              <w:left w:val="nil"/>
              <w:bottom w:val="single" w:sz="4" w:space="0" w:color="auto"/>
              <w:right w:val="single" w:sz="4" w:space="0" w:color="auto"/>
            </w:tcBorders>
            <w:shd w:val="clear" w:color="auto" w:fill="BFBFBF" w:themeFill="background1" w:themeFillShade="BF"/>
            <w:noWrap/>
            <w:hideMark/>
          </w:tcPr>
          <w:p w14:paraId="425ABD2F"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Total</w:t>
            </w:r>
          </w:p>
        </w:tc>
        <w:tc>
          <w:tcPr>
            <w:tcW w:w="987" w:type="pct"/>
            <w:tcBorders>
              <w:top w:val="nil"/>
              <w:left w:val="nil"/>
              <w:bottom w:val="single" w:sz="4" w:space="0" w:color="auto"/>
              <w:right w:val="single" w:sz="4" w:space="0" w:color="auto"/>
            </w:tcBorders>
            <w:shd w:val="clear" w:color="auto" w:fill="BFBFBF" w:themeFill="background1" w:themeFillShade="BF"/>
            <w:noWrap/>
            <w:hideMark/>
          </w:tcPr>
          <w:p w14:paraId="425ABD30"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 of response</w:t>
            </w:r>
          </w:p>
        </w:tc>
        <w:tc>
          <w:tcPr>
            <w:tcW w:w="1184" w:type="pct"/>
            <w:tcBorders>
              <w:top w:val="nil"/>
              <w:left w:val="nil"/>
              <w:bottom w:val="single" w:sz="4" w:space="0" w:color="auto"/>
              <w:right w:val="single" w:sz="4" w:space="0" w:color="auto"/>
            </w:tcBorders>
            <w:shd w:val="clear" w:color="auto" w:fill="BFBFBF" w:themeFill="background1" w:themeFillShade="BF"/>
            <w:hideMark/>
          </w:tcPr>
          <w:p w14:paraId="425ABD31"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 of case (N=17)</w:t>
            </w:r>
          </w:p>
        </w:tc>
      </w:tr>
      <w:tr w:rsidR="008F4BCC" w:rsidRPr="008F4BCC" w14:paraId="425ABD37"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33"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Ministry of Finance</w:t>
            </w:r>
          </w:p>
        </w:tc>
        <w:tc>
          <w:tcPr>
            <w:tcW w:w="888" w:type="pct"/>
            <w:tcBorders>
              <w:top w:val="nil"/>
              <w:left w:val="nil"/>
              <w:bottom w:val="single" w:sz="4" w:space="0" w:color="auto"/>
              <w:right w:val="single" w:sz="4" w:space="0" w:color="auto"/>
            </w:tcBorders>
            <w:shd w:val="clear" w:color="auto" w:fill="auto"/>
            <w:noWrap/>
            <w:vAlign w:val="bottom"/>
            <w:hideMark/>
          </w:tcPr>
          <w:p w14:paraId="425ABD34"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8</w:t>
            </w:r>
          </w:p>
        </w:tc>
        <w:tc>
          <w:tcPr>
            <w:tcW w:w="987" w:type="pct"/>
            <w:tcBorders>
              <w:top w:val="nil"/>
              <w:left w:val="nil"/>
              <w:bottom w:val="single" w:sz="4" w:space="0" w:color="auto"/>
              <w:right w:val="single" w:sz="4" w:space="0" w:color="auto"/>
            </w:tcBorders>
            <w:shd w:val="clear" w:color="auto" w:fill="auto"/>
            <w:noWrap/>
            <w:vAlign w:val="bottom"/>
            <w:hideMark/>
          </w:tcPr>
          <w:p w14:paraId="425ABD35"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24.24</w:t>
            </w:r>
          </w:p>
        </w:tc>
        <w:tc>
          <w:tcPr>
            <w:tcW w:w="1184" w:type="pct"/>
            <w:tcBorders>
              <w:top w:val="nil"/>
              <w:left w:val="nil"/>
              <w:bottom w:val="single" w:sz="4" w:space="0" w:color="auto"/>
              <w:right w:val="single" w:sz="4" w:space="0" w:color="auto"/>
            </w:tcBorders>
            <w:shd w:val="clear" w:color="auto" w:fill="auto"/>
            <w:noWrap/>
            <w:vAlign w:val="bottom"/>
            <w:hideMark/>
          </w:tcPr>
          <w:p w14:paraId="425ABD36"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47.06</w:t>
            </w:r>
          </w:p>
        </w:tc>
      </w:tr>
      <w:tr w:rsidR="008F4BCC" w:rsidRPr="008F4BCC" w14:paraId="425ABD3C"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38"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Ministry of Commerce</w:t>
            </w:r>
          </w:p>
        </w:tc>
        <w:tc>
          <w:tcPr>
            <w:tcW w:w="888" w:type="pct"/>
            <w:tcBorders>
              <w:top w:val="nil"/>
              <w:left w:val="nil"/>
              <w:bottom w:val="single" w:sz="4" w:space="0" w:color="auto"/>
              <w:right w:val="single" w:sz="4" w:space="0" w:color="auto"/>
            </w:tcBorders>
            <w:shd w:val="clear" w:color="auto" w:fill="auto"/>
            <w:noWrap/>
            <w:vAlign w:val="bottom"/>
            <w:hideMark/>
          </w:tcPr>
          <w:p w14:paraId="425ABD39"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2</w:t>
            </w:r>
          </w:p>
        </w:tc>
        <w:tc>
          <w:tcPr>
            <w:tcW w:w="987" w:type="pct"/>
            <w:tcBorders>
              <w:top w:val="nil"/>
              <w:left w:val="nil"/>
              <w:bottom w:val="single" w:sz="4" w:space="0" w:color="auto"/>
              <w:right w:val="single" w:sz="4" w:space="0" w:color="auto"/>
            </w:tcBorders>
            <w:shd w:val="clear" w:color="auto" w:fill="auto"/>
            <w:noWrap/>
            <w:vAlign w:val="bottom"/>
            <w:hideMark/>
          </w:tcPr>
          <w:p w14:paraId="425ABD3A"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6.06</w:t>
            </w:r>
          </w:p>
        </w:tc>
        <w:tc>
          <w:tcPr>
            <w:tcW w:w="1184" w:type="pct"/>
            <w:tcBorders>
              <w:top w:val="nil"/>
              <w:left w:val="nil"/>
              <w:bottom w:val="single" w:sz="4" w:space="0" w:color="auto"/>
              <w:right w:val="single" w:sz="4" w:space="0" w:color="auto"/>
            </w:tcBorders>
            <w:shd w:val="clear" w:color="auto" w:fill="auto"/>
            <w:noWrap/>
            <w:vAlign w:val="bottom"/>
            <w:hideMark/>
          </w:tcPr>
          <w:p w14:paraId="425ABD3B"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11.76</w:t>
            </w:r>
          </w:p>
        </w:tc>
      </w:tr>
      <w:tr w:rsidR="008F4BCC" w:rsidRPr="008F4BCC" w14:paraId="425ABD41"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3D"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Ministry of Education</w:t>
            </w:r>
          </w:p>
        </w:tc>
        <w:tc>
          <w:tcPr>
            <w:tcW w:w="888" w:type="pct"/>
            <w:tcBorders>
              <w:top w:val="nil"/>
              <w:left w:val="nil"/>
              <w:bottom w:val="single" w:sz="4" w:space="0" w:color="auto"/>
              <w:right w:val="single" w:sz="4" w:space="0" w:color="auto"/>
            </w:tcBorders>
            <w:shd w:val="clear" w:color="auto" w:fill="auto"/>
            <w:noWrap/>
            <w:vAlign w:val="bottom"/>
            <w:hideMark/>
          </w:tcPr>
          <w:p w14:paraId="425ABD3E"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6</w:t>
            </w:r>
          </w:p>
        </w:tc>
        <w:tc>
          <w:tcPr>
            <w:tcW w:w="987" w:type="pct"/>
            <w:tcBorders>
              <w:top w:val="nil"/>
              <w:left w:val="nil"/>
              <w:bottom w:val="single" w:sz="4" w:space="0" w:color="auto"/>
              <w:right w:val="single" w:sz="4" w:space="0" w:color="auto"/>
            </w:tcBorders>
            <w:shd w:val="clear" w:color="auto" w:fill="auto"/>
            <w:noWrap/>
            <w:vAlign w:val="bottom"/>
            <w:hideMark/>
          </w:tcPr>
          <w:p w14:paraId="425ABD3F"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18.18</w:t>
            </w:r>
          </w:p>
        </w:tc>
        <w:tc>
          <w:tcPr>
            <w:tcW w:w="1184" w:type="pct"/>
            <w:tcBorders>
              <w:top w:val="nil"/>
              <w:left w:val="nil"/>
              <w:bottom w:val="single" w:sz="4" w:space="0" w:color="auto"/>
              <w:right w:val="single" w:sz="4" w:space="0" w:color="auto"/>
            </w:tcBorders>
            <w:shd w:val="clear" w:color="auto" w:fill="auto"/>
            <w:noWrap/>
            <w:vAlign w:val="bottom"/>
            <w:hideMark/>
          </w:tcPr>
          <w:p w14:paraId="425ABD40"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35.29</w:t>
            </w:r>
          </w:p>
        </w:tc>
      </w:tr>
      <w:tr w:rsidR="008F4BCC" w:rsidRPr="008F4BCC" w14:paraId="425ABD46"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42"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Ministry of Social Welfare</w:t>
            </w:r>
          </w:p>
        </w:tc>
        <w:tc>
          <w:tcPr>
            <w:tcW w:w="888" w:type="pct"/>
            <w:tcBorders>
              <w:top w:val="nil"/>
              <w:left w:val="nil"/>
              <w:bottom w:val="single" w:sz="4" w:space="0" w:color="auto"/>
              <w:right w:val="single" w:sz="4" w:space="0" w:color="auto"/>
            </w:tcBorders>
            <w:shd w:val="clear" w:color="auto" w:fill="auto"/>
            <w:noWrap/>
            <w:vAlign w:val="bottom"/>
            <w:hideMark/>
          </w:tcPr>
          <w:p w14:paraId="425ABD43"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2</w:t>
            </w:r>
          </w:p>
        </w:tc>
        <w:tc>
          <w:tcPr>
            <w:tcW w:w="987" w:type="pct"/>
            <w:tcBorders>
              <w:top w:val="nil"/>
              <w:left w:val="nil"/>
              <w:bottom w:val="single" w:sz="4" w:space="0" w:color="auto"/>
              <w:right w:val="single" w:sz="4" w:space="0" w:color="auto"/>
            </w:tcBorders>
            <w:shd w:val="clear" w:color="auto" w:fill="auto"/>
            <w:noWrap/>
            <w:vAlign w:val="bottom"/>
            <w:hideMark/>
          </w:tcPr>
          <w:p w14:paraId="425ABD44"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6.06</w:t>
            </w:r>
          </w:p>
        </w:tc>
        <w:tc>
          <w:tcPr>
            <w:tcW w:w="1184" w:type="pct"/>
            <w:tcBorders>
              <w:top w:val="nil"/>
              <w:left w:val="nil"/>
              <w:bottom w:val="single" w:sz="4" w:space="0" w:color="auto"/>
              <w:right w:val="single" w:sz="4" w:space="0" w:color="auto"/>
            </w:tcBorders>
            <w:shd w:val="clear" w:color="auto" w:fill="auto"/>
            <w:noWrap/>
            <w:vAlign w:val="bottom"/>
            <w:hideMark/>
          </w:tcPr>
          <w:p w14:paraId="425ABD45"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11.76</w:t>
            </w:r>
          </w:p>
        </w:tc>
      </w:tr>
      <w:tr w:rsidR="008F4BCC" w:rsidRPr="008F4BCC" w14:paraId="425ABD4B"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47"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National/Central Bank</w:t>
            </w:r>
          </w:p>
        </w:tc>
        <w:tc>
          <w:tcPr>
            <w:tcW w:w="888" w:type="pct"/>
            <w:tcBorders>
              <w:top w:val="nil"/>
              <w:left w:val="nil"/>
              <w:bottom w:val="single" w:sz="4" w:space="0" w:color="auto"/>
              <w:right w:val="single" w:sz="4" w:space="0" w:color="auto"/>
            </w:tcBorders>
            <w:shd w:val="clear" w:color="auto" w:fill="auto"/>
            <w:noWrap/>
            <w:vAlign w:val="bottom"/>
            <w:hideMark/>
          </w:tcPr>
          <w:p w14:paraId="425ABD48"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11</w:t>
            </w:r>
          </w:p>
        </w:tc>
        <w:tc>
          <w:tcPr>
            <w:tcW w:w="987" w:type="pct"/>
            <w:tcBorders>
              <w:top w:val="nil"/>
              <w:left w:val="nil"/>
              <w:bottom w:val="single" w:sz="4" w:space="0" w:color="auto"/>
              <w:right w:val="single" w:sz="4" w:space="0" w:color="auto"/>
            </w:tcBorders>
            <w:shd w:val="clear" w:color="auto" w:fill="auto"/>
            <w:noWrap/>
            <w:vAlign w:val="bottom"/>
            <w:hideMark/>
          </w:tcPr>
          <w:p w14:paraId="425ABD49"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33.33</w:t>
            </w:r>
          </w:p>
        </w:tc>
        <w:tc>
          <w:tcPr>
            <w:tcW w:w="1184" w:type="pct"/>
            <w:tcBorders>
              <w:top w:val="nil"/>
              <w:left w:val="nil"/>
              <w:bottom w:val="single" w:sz="4" w:space="0" w:color="auto"/>
              <w:right w:val="single" w:sz="4" w:space="0" w:color="auto"/>
            </w:tcBorders>
            <w:shd w:val="clear" w:color="auto" w:fill="auto"/>
            <w:noWrap/>
            <w:vAlign w:val="bottom"/>
            <w:hideMark/>
          </w:tcPr>
          <w:p w14:paraId="425ABD4A"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64.71</w:t>
            </w:r>
          </w:p>
        </w:tc>
      </w:tr>
      <w:tr w:rsidR="008F4BCC" w:rsidRPr="008F4BCC" w14:paraId="425ABD50"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4C" w14:textId="77777777" w:rsidR="008F4BCC" w:rsidRPr="008F4BCC" w:rsidRDefault="008F4BCC" w:rsidP="00A465D2">
            <w:pPr>
              <w:spacing w:before="120" w:after="120" w:line="240" w:lineRule="auto"/>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Other</w:t>
            </w:r>
          </w:p>
        </w:tc>
        <w:tc>
          <w:tcPr>
            <w:tcW w:w="888" w:type="pct"/>
            <w:tcBorders>
              <w:top w:val="nil"/>
              <w:left w:val="nil"/>
              <w:bottom w:val="single" w:sz="4" w:space="0" w:color="auto"/>
              <w:right w:val="single" w:sz="4" w:space="0" w:color="auto"/>
            </w:tcBorders>
            <w:shd w:val="clear" w:color="auto" w:fill="auto"/>
            <w:noWrap/>
            <w:vAlign w:val="bottom"/>
            <w:hideMark/>
          </w:tcPr>
          <w:p w14:paraId="425ABD4D"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4</w:t>
            </w:r>
          </w:p>
        </w:tc>
        <w:tc>
          <w:tcPr>
            <w:tcW w:w="987" w:type="pct"/>
            <w:tcBorders>
              <w:top w:val="nil"/>
              <w:left w:val="nil"/>
              <w:bottom w:val="single" w:sz="4" w:space="0" w:color="auto"/>
              <w:right w:val="single" w:sz="4" w:space="0" w:color="auto"/>
            </w:tcBorders>
            <w:shd w:val="clear" w:color="auto" w:fill="auto"/>
            <w:noWrap/>
            <w:vAlign w:val="bottom"/>
            <w:hideMark/>
          </w:tcPr>
          <w:p w14:paraId="425ABD4E"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12.12</w:t>
            </w:r>
          </w:p>
        </w:tc>
        <w:tc>
          <w:tcPr>
            <w:tcW w:w="1184" w:type="pct"/>
            <w:tcBorders>
              <w:top w:val="nil"/>
              <w:left w:val="nil"/>
              <w:bottom w:val="single" w:sz="4" w:space="0" w:color="auto"/>
              <w:right w:val="single" w:sz="4" w:space="0" w:color="auto"/>
            </w:tcBorders>
            <w:shd w:val="clear" w:color="auto" w:fill="auto"/>
            <w:noWrap/>
            <w:vAlign w:val="bottom"/>
            <w:hideMark/>
          </w:tcPr>
          <w:p w14:paraId="425ABD4F" w14:textId="77777777" w:rsidR="008F4BCC" w:rsidRPr="008F4BCC" w:rsidRDefault="008F4BCC" w:rsidP="00A465D2">
            <w:pPr>
              <w:spacing w:before="120" w:after="120" w:line="240" w:lineRule="auto"/>
              <w:jc w:val="right"/>
              <w:rPr>
                <w:rFonts w:ascii="Times New Roman" w:eastAsia="Times New Roman" w:hAnsi="Times New Roman" w:cs="Times New Roman"/>
                <w:color w:val="000000"/>
                <w:sz w:val="24"/>
                <w:szCs w:val="24"/>
              </w:rPr>
            </w:pPr>
            <w:r w:rsidRPr="008F4BCC">
              <w:rPr>
                <w:rFonts w:ascii="Times New Roman" w:eastAsia="Times New Roman" w:hAnsi="Times New Roman" w:cs="Times New Roman"/>
                <w:color w:val="000000"/>
                <w:sz w:val="24"/>
                <w:szCs w:val="24"/>
              </w:rPr>
              <w:t>23.53</w:t>
            </w:r>
          </w:p>
        </w:tc>
      </w:tr>
      <w:tr w:rsidR="008F4BCC" w:rsidRPr="008F4BCC" w14:paraId="425ABD55" w14:textId="77777777" w:rsidTr="008F4BCC">
        <w:trPr>
          <w:trHeight w:val="300"/>
        </w:trPr>
        <w:tc>
          <w:tcPr>
            <w:tcW w:w="1941" w:type="pct"/>
            <w:tcBorders>
              <w:top w:val="nil"/>
              <w:left w:val="single" w:sz="4" w:space="0" w:color="auto"/>
              <w:bottom w:val="single" w:sz="4" w:space="0" w:color="auto"/>
              <w:right w:val="single" w:sz="4" w:space="0" w:color="auto"/>
            </w:tcBorders>
            <w:shd w:val="clear" w:color="auto" w:fill="auto"/>
            <w:noWrap/>
            <w:vAlign w:val="bottom"/>
            <w:hideMark/>
          </w:tcPr>
          <w:p w14:paraId="425ABD51" w14:textId="77777777" w:rsidR="008F4BCC" w:rsidRPr="008F4BCC" w:rsidRDefault="008F4BCC" w:rsidP="00A465D2">
            <w:pPr>
              <w:spacing w:before="120" w:after="120" w:line="240" w:lineRule="auto"/>
              <w:jc w:val="center"/>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Total</w:t>
            </w:r>
          </w:p>
        </w:tc>
        <w:tc>
          <w:tcPr>
            <w:tcW w:w="888" w:type="pct"/>
            <w:tcBorders>
              <w:top w:val="nil"/>
              <w:left w:val="nil"/>
              <w:bottom w:val="single" w:sz="4" w:space="0" w:color="auto"/>
              <w:right w:val="single" w:sz="4" w:space="0" w:color="auto"/>
            </w:tcBorders>
            <w:shd w:val="clear" w:color="auto" w:fill="auto"/>
            <w:noWrap/>
            <w:vAlign w:val="bottom"/>
            <w:hideMark/>
          </w:tcPr>
          <w:p w14:paraId="425ABD52" w14:textId="77777777" w:rsidR="008F4BCC" w:rsidRPr="008F4BCC" w:rsidRDefault="008F4BCC" w:rsidP="00A465D2">
            <w:pPr>
              <w:spacing w:before="120" w:after="120" w:line="240" w:lineRule="auto"/>
              <w:jc w:val="right"/>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33</w:t>
            </w:r>
          </w:p>
        </w:tc>
        <w:tc>
          <w:tcPr>
            <w:tcW w:w="987" w:type="pct"/>
            <w:tcBorders>
              <w:top w:val="nil"/>
              <w:left w:val="nil"/>
              <w:bottom w:val="single" w:sz="4" w:space="0" w:color="auto"/>
              <w:right w:val="single" w:sz="4" w:space="0" w:color="auto"/>
            </w:tcBorders>
            <w:shd w:val="clear" w:color="auto" w:fill="auto"/>
            <w:noWrap/>
            <w:vAlign w:val="bottom"/>
            <w:hideMark/>
          </w:tcPr>
          <w:p w14:paraId="425ABD53" w14:textId="77777777" w:rsidR="008F4BCC" w:rsidRPr="008F4BCC" w:rsidRDefault="008F4BCC" w:rsidP="00A465D2">
            <w:pPr>
              <w:spacing w:before="120" w:after="120" w:line="240" w:lineRule="auto"/>
              <w:jc w:val="right"/>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100.00</w:t>
            </w:r>
          </w:p>
        </w:tc>
        <w:tc>
          <w:tcPr>
            <w:tcW w:w="1184" w:type="pct"/>
            <w:tcBorders>
              <w:top w:val="nil"/>
              <w:left w:val="nil"/>
              <w:bottom w:val="single" w:sz="4" w:space="0" w:color="auto"/>
              <w:right w:val="single" w:sz="4" w:space="0" w:color="auto"/>
            </w:tcBorders>
            <w:shd w:val="clear" w:color="auto" w:fill="auto"/>
            <w:noWrap/>
            <w:vAlign w:val="bottom"/>
            <w:hideMark/>
          </w:tcPr>
          <w:p w14:paraId="425ABD54" w14:textId="77777777" w:rsidR="008F4BCC" w:rsidRPr="008F4BCC" w:rsidRDefault="008F4BCC" w:rsidP="00A465D2">
            <w:pPr>
              <w:spacing w:before="120" w:after="120" w:line="240" w:lineRule="auto"/>
              <w:jc w:val="right"/>
              <w:rPr>
                <w:rFonts w:ascii="Times New Roman" w:eastAsia="Times New Roman" w:hAnsi="Times New Roman" w:cs="Times New Roman"/>
                <w:b/>
                <w:bCs/>
                <w:color w:val="000000"/>
                <w:sz w:val="24"/>
                <w:szCs w:val="24"/>
              </w:rPr>
            </w:pPr>
            <w:r w:rsidRPr="008F4BCC">
              <w:rPr>
                <w:rFonts w:ascii="Times New Roman" w:eastAsia="Times New Roman" w:hAnsi="Times New Roman" w:cs="Times New Roman"/>
                <w:b/>
                <w:bCs/>
                <w:color w:val="000000"/>
                <w:sz w:val="24"/>
                <w:szCs w:val="24"/>
              </w:rPr>
              <w:t>194.12</w:t>
            </w:r>
          </w:p>
        </w:tc>
      </w:tr>
    </w:tbl>
    <w:p w14:paraId="425ABD56" w14:textId="77777777" w:rsidR="00A465D2" w:rsidRPr="00A465D2" w:rsidRDefault="00A465D2" w:rsidP="001C539A">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D57" w14:textId="77777777" w:rsidR="001C539A" w:rsidRDefault="001C539A" w:rsidP="001C539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In Australia, there is t</w:t>
      </w:r>
      <w:r w:rsidRPr="001C539A">
        <w:rPr>
          <w:rFonts w:ascii="Times New Roman" w:hAnsi="Times New Roman" w:cs="Times New Roman"/>
          <w:sz w:val="24"/>
          <w:szCs w:val="24"/>
        </w:rPr>
        <w:t>he National Financial Literacy Strategy 2014-17</w:t>
      </w:r>
      <w:r>
        <w:rPr>
          <w:rFonts w:ascii="Times New Roman" w:hAnsi="Times New Roman" w:cs="Times New Roman"/>
          <w:sz w:val="24"/>
          <w:szCs w:val="24"/>
        </w:rPr>
        <w:t>. The strategy</w:t>
      </w:r>
      <w:r w:rsidRPr="001C539A">
        <w:rPr>
          <w:rFonts w:ascii="Times New Roman" w:hAnsi="Times New Roman" w:cs="Times New Roman"/>
          <w:sz w:val="24"/>
          <w:szCs w:val="24"/>
        </w:rPr>
        <w:t xml:space="preserve"> aims to improve the financial well</w:t>
      </w:r>
      <w:r w:rsidR="008F43F9">
        <w:rPr>
          <w:rFonts w:ascii="Times New Roman" w:hAnsi="Times New Roman" w:cs="Times New Roman"/>
          <w:sz w:val="24"/>
          <w:szCs w:val="24"/>
        </w:rPr>
        <w:t>-</w:t>
      </w:r>
      <w:r w:rsidRPr="001C539A">
        <w:rPr>
          <w:rFonts w:ascii="Times New Roman" w:hAnsi="Times New Roman" w:cs="Times New Roman"/>
          <w:sz w:val="24"/>
          <w:szCs w:val="24"/>
        </w:rPr>
        <w:t>being of all Australians, by advancing their financial literacy. The prime focus of the Strategy is building Australians’ personal financial literacy, rather than financial literacy for specific contexts such as small business. In that context, SMEs would benefit from a number of the key actions delivered by relevant organizations under th</w:t>
      </w:r>
      <w:r>
        <w:rPr>
          <w:rFonts w:ascii="Times New Roman" w:hAnsi="Times New Roman" w:cs="Times New Roman"/>
          <w:sz w:val="24"/>
          <w:szCs w:val="24"/>
        </w:rPr>
        <w:t xml:space="preserve">e 2014-17 Strategy. For example, </w:t>
      </w:r>
      <w:r w:rsidRPr="001C539A">
        <w:rPr>
          <w:rFonts w:ascii="Times New Roman" w:hAnsi="Times New Roman" w:cs="Times New Roman"/>
          <w:sz w:val="24"/>
          <w:szCs w:val="24"/>
        </w:rPr>
        <w:t xml:space="preserve">small business owners of the future will benefit from the Strategy’s focus on educating the next generation, particularly through the formal education system.  Specific actions include increasing the number of vocational education and training (VET) students participating in financial education.  For example, ASIC is working in partnership with relevant organizations in the vocational training area to develop resources to support VET competencies in certificate-level courses for apprentices: a Cert III: Be Money Smart competency and a Cert IV: Be Money Smart in Small Business competency. Be Money Smart is an apprentice certificate qualification module comprising a financial health check, money management, personal tax, insurance and superannuation topics; and Being Money Smart in Small Business is a licensing certificate qualification module covering establishing a small business, being a contractor, business planning, managing business finance and compliance. </w:t>
      </w:r>
      <w:r>
        <w:rPr>
          <w:rFonts w:ascii="Times New Roman" w:hAnsi="Times New Roman" w:cs="Times New Roman"/>
          <w:sz w:val="24"/>
          <w:szCs w:val="24"/>
        </w:rPr>
        <w:t>C</w:t>
      </w:r>
      <w:r w:rsidRPr="001C539A">
        <w:rPr>
          <w:rFonts w:ascii="Times New Roman" w:hAnsi="Times New Roman" w:cs="Times New Roman"/>
          <w:sz w:val="24"/>
          <w:szCs w:val="24"/>
        </w:rPr>
        <w:t xml:space="preserve">urrent small business owners will continue to benefit from ASIC’s Money Smart website, which provides guidance on all aspects of personal finance for all ages and life stages, and includes dedicated content for self-employed people on issues such as managing cash flow, tax, </w:t>
      </w:r>
      <w:r w:rsidR="008F43F9">
        <w:rPr>
          <w:rFonts w:ascii="Times New Roman" w:hAnsi="Times New Roman" w:cs="Times New Roman"/>
          <w:sz w:val="24"/>
          <w:szCs w:val="24"/>
        </w:rPr>
        <w:t xml:space="preserve">and </w:t>
      </w:r>
      <w:r w:rsidRPr="001C539A">
        <w:rPr>
          <w:rFonts w:ascii="Times New Roman" w:hAnsi="Times New Roman" w:cs="Times New Roman"/>
          <w:sz w:val="24"/>
          <w:szCs w:val="24"/>
        </w:rPr>
        <w:t>retirement savings</w:t>
      </w:r>
      <w:r w:rsidR="008F43F9">
        <w:rPr>
          <w:rFonts w:ascii="Times New Roman" w:hAnsi="Times New Roman" w:cs="Times New Roman"/>
          <w:sz w:val="24"/>
          <w:szCs w:val="24"/>
        </w:rPr>
        <w:t>.</w:t>
      </w:r>
      <w:r w:rsidRPr="001C539A">
        <w:rPr>
          <w:rFonts w:ascii="Times New Roman" w:hAnsi="Times New Roman" w:cs="Times New Roman"/>
          <w:sz w:val="24"/>
          <w:szCs w:val="24"/>
        </w:rPr>
        <w:t xml:space="preserve">  </w:t>
      </w:r>
    </w:p>
    <w:p w14:paraId="425ABD58" w14:textId="77777777" w:rsidR="001C539A" w:rsidRPr="001C539A" w:rsidRDefault="001C539A" w:rsidP="001C539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Hong Kong, there is t</w:t>
      </w:r>
      <w:r w:rsidRPr="001C539A">
        <w:rPr>
          <w:rFonts w:ascii="Times New Roman" w:hAnsi="Times New Roman" w:cs="Times New Roman"/>
          <w:sz w:val="24"/>
          <w:szCs w:val="24"/>
        </w:rPr>
        <w:t>he Hong Kong Strategy for Financial Literacy (HKSFL)</w:t>
      </w:r>
      <w:r>
        <w:rPr>
          <w:rFonts w:ascii="Times New Roman" w:hAnsi="Times New Roman" w:cs="Times New Roman"/>
          <w:sz w:val="24"/>
          <w:szCs w:val="24"/>
        </w:rPr>
        <w:t xml:space="preserve">. It launched in November 2015. The strategy </w:t>
      </w:r>
      <w:r w:rsidRPr="001C539A">
        <w:rPr>
          <w:rFonts w:ascii="Times New Roman" w:hAnsi="Times New Roman" w:cs="Times New Roman"/>
          <w:sz w:val="24"/>
          <w:szCs w:val="24"/>
        </w:rPr>
        <w:t xml:space="preserve">sets out a clear vision for building the financial literacy and well-being of Hong Kong residents. The vision is underpinned by a number of actions, desired outcomes and key success measures for the next three years.  The vision of the HKSFL is to empower the people of Hong Kong to make informed and responsible financial decisions for themselves and their families.  The goal is to instill the financial knowledge, skills, attitudes, motivations and behaviors as identified in the Financial Competency Framework.  The three strategic focuses </w:t>
      </w:r>
      <w:r w:rsidR="008F43F9">
        <w:rPr>
          <w:rFonts w:ascii="Times New Roman" w:hAnsi="Times New Roman" w:cs="Times New Roman"/>
          <w:sz w:val="24"/>
          <w:szCs w:val="24"/>
        </w:rPr>
        <w:t>aim to</w:t>
      </w:r>
      <w:r w:rsidR="008F43F9" w:rsidRPr="001C539A">
        <w:rPr>
          <w:rFonts w:ascii="Times New Roman" w:hAnsi="Times New Roman" w:cs="Times New Roman"/>
          <w:sz w:val="24"/>
          <w:szCs w:val="24"/>
        </w:rPr>
        <w:t xml:space="preserve"> </w:t>
      </w:r>
      <w:r w:rsidRPr="001C539A">
        <w:rPr>
          <w:rFonts w:ascii="Times New Roman" w:hAnsi="Times New Roman" w:cs="Times New Roman"/>
          <w:sz w:val="24"/>
          <w:szCs w:val="24"/>
        </w:rPr>
        <w:t xml:space="preserve">help achieve </w:t>
      </w:r>
      <w:r w:rsidR="008F43F9">
        <w:rPr>
          <w:rFonts w:ascii="Times New Roman" w:hAnsi="Times New Roman" w:cs="Times New Roman"/>
          <w:sz w:val="24"/>
          <w:szCs w:val="24"/>
        </w:rPr>
        <w:t>the following</w:t>
      </w:r>
      <w:r w:rsidRPr="001C539A">
        <w:rPr>
          <w:rFonts w:ascii="Times New Roman" w:hAnsi="Times New Roman" w:cs="Times New Roman"/>
          <w:sz w:val="24"/>
          <w:szCs w:val="24"/>
        </w:rPr>
        <w:t>:</w:t>
      </w:r>
    </w:p>
    <w:p w14:paraId="425ABD59"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Raise awareness of the benefits of financial education</w:t>
      </w:r>
    </w:p>
    <w:p w14:paraId="425ABD5A"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Create greater awareness of the importance of financial education in society</w:t>
      </w:r>
    </w:p>
    <w:p w14:paraId="425ABD5B" w14:textId="77777777" w:rsidR="001C539A" w:rsidRP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Stimulate greater demand and use of financial education initiatives</w:t>
      </w:r>
    </w:p>
    <w:p w14:paraId="425ABD5C"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Extend opportunities to learn</w:t>
      </w:r>
    </w:p>
    <w:p w14:paraId="425ABD5D"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Encourage life-long learning on financial matters starting from an early life stage</w:t>
      </w:r>
    </w:p>
    <w:p w14:paraId="425ABD5E" w14:textId="77777777" w:rsidR="001C539A" w:rsidRP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Make financial education initiatives available in diversified venues and settings</w:t>
      </w:r>
    </w:p>
    <w:p w14:paraId="425ABD5F"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Enhance coordination and collaboration among stakeholders</w:t>
      </w:r>
    </w:p>
    <w:p w14:paraId="425ABD60"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Optimize resources and achieve synergy</w:t>
      </w:r>
    </w:p>
    <w:p w14:paraId="425ABD61" w14:textId="77777777" w:rsid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Extend the impact and reach of education initiatives</w:t>
      </w:r>
    </w:p>
    <w:p w14:paraId="425ABD62" w14:textId="77777777" w:rsidR="001C539A" w:rsidRPr="001C539A" w:rsidRDefault="001C539A" w:rsidP="001C539A">
      <w:pPr>
        <w:pStyle w:val="ListParagraph"/>
        <w:numPr>
          <w:ilvl w:val="1"/>
          <w:numId w:val="1"/>
        </w:num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 xml:space="preserve">Share experience and good practice </w:t>
      </w:r>
    </w:p>
    <w:p w14:paraId="425ABD63" w14:textId="37F52B81" w:rsidR="001C539A" w:rsidRPr="008F4BCC" w:rsidRDefault="001C539A" w:rsidP="001C539A">
      <w:pPr>
        <w:spacing w:before="240" w:after="240" w:line="240" w:lineRule="auto"/>
        <w:jc w:val="both"/>
        <w:rPr>
          <w:rFonts w:ascii="Times New Roman" w:hAnsi="Times New Roman" w:cs="Times New Roman"/>
          <w:sz w:val="24"/>
          <w:szCs w:val="24"/>
        </w:rPr>
      </w:pPr>
      <w:r w:rsidRPr="001C539A">
        <w:rPr>
          <w:rFonts w:ascii="Times New Roman" w:hAnsi="Times New Roman" w:cs="Times New Roman"/>
          <w:sz w:val="24"/>
          <w:szCs w:val="24"/>
        </w:rPr>
        <w:t xml:space="preserve">The Hong Kong Strategy for Financial Literacy (HKSFL) is the first initiative of its kind in Hong Kong which aims to harness the enthusiasm and efforts of various sectors by setting common goals and enabling cross-sectoral collaboration to address financial education needs in Hong Kong.  A comprehensive process has been undertaken to develop the HKSFL. Efforts were made to review strategy documents related to financial education from other </w:t>
      </w:r>
      <w:r w:rsidR="00F56E72">
        <w:rPr>
          <w:rFonts w:ascii="Times New Roman" w:hAnsi="Times New Roman" w:cs="Times New Roman"/>
          <w:sz w:val="24"/>
          <w:szCs w:val="24"/>
        </w:rPr>
        <w:t>econom</w:t>
      </w:r>
      <w:r w:rsidRPr="001C539A">
        <w:rPr>
          <w:rFonts w:ascii="Times New Roman" w:hAnsi="Times New Roman" w:cs="Times New Roman"/>
          <w:sz w:val="24"/>
          <w:szCs w:val="24"/>
        </w:rPr>
        <w:t>ies. An audit of the financial education initiatives currently offered in Hong Kong was also conducted to understand the market landscape and assess critical gaps. This was followed by a series of stakeholder workshops to discuss potential strategies and build consensus. Finally, as part of the inclusive process to develop the HKSFL, there was a public consultation to seek the views and support from the wider community.</w:t>
      </w:r>
    </w:p>
    <w:p w14:paraId="425ABD64" w14:textId="77777777" w:rsidR="00F051F3" w:rsidRDefault="00F051F3" w:rsidP="00F051F3">
      <w:pPr>
        <w:pStyle w:val="ListParagraph"/>
        <w:numPr>
          <w:ilvl w:val="0"/>
          <w:numId w:val="5"/>
        </w:numPr>
        <w:spacing w:before="240"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Stakeholders</w:t>
      </w:r>
    </w:p>
    <w:p w14:paraId="425ABD65" w14:textId="77777777" w:rsidR="00F051F3" w:rsidRPr="00F051F3" w:rsidRDefault="00F051F3" w:rsidP="00F051F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The primary targets of financial educational programs are youth—it accounts for 16.13%. Young children accounts for 15.05%</w:t>
      </w:r>
      <w:r w:rsidR="00A465D2">
        <w:rPr>
          <w:rFonts w:ascii="Times New Roman" w:hAnsi="Times New Roman" w:cs="Times New Roman"/>
          <w:sz w:val="24"/>
          <w:szCs w:val="24"/>
        </w:rPr>
        <w:t>. Adult generally accounts for 13.98%. The SMEs accounts for 12.90%.</w:t>
      </w:r>
    </w:p>
    <w:p w14:paraId="425ABD66" w14:textId="77777777" w:rsidR="00A465D2" w:rsidRPr="00A465D2" w:rsidRDefault="00A465D2" w:rsidP="00A465D2">
      <w:pPr>
        <w:pStyle w:val="Caption"/>
        <w:keepNext/>
        <w:rPr>
          <w:rFonts w:ascii="Times New Roman" w:hAnsi="Times New Roman" w:cs="Times New Roman"/>
          <w:b/>
          <w:bCs/>
          <w:i w:val="0"/>
          <w:iCs w:val="0"/>
          <w:sz w:val="24"/>
          <w:szCs w:val="24"/>
        </w:rPr>
      </w:pPr>
      <w:r w:rsidRPr="00A465D2">
        <w:rPr>
          <w:rFonts w:ascii="Times New Roman" w:hAnsi="Times New Roman" w:cs="Times New Roman"/>
          <w:b/>
          <w:bCs/>
          <w:i w:val="0"/>
          <w:iCs w:val="0"/>
          <w:sz w:val="24"/>
          <w:szCs w:val="24"/>
        </w:rPr>
        <w:t xml:space="preserve">Table </w:t>
      </w:r>
      <w:r w:rsidRPr="00A465D2">
        <w:rPr>
          <w:rFonts w:ascii="Times New Roman" w:hAnsi="Times New Roman" w:cs="Times New Roman"/>
          <w:b/>
          <w:bCs/>
          <w:i w:val="0"/>
          <w:iCs w:val="0"/>
          <w:sz w:val="24"/>
          <w:szCs w:val="24"/>
        </w:rPr>
        <w:fldChar w:fldCharType="begin"/>
      </w:r>
      <w:r w:rsidRPr="00A465D2">
        <w:rPr>
          <w:rFonts w:ascii="Times New Roman" w:hAnsi="Times New Roman" w:cs="Times New Roman"/>
          <w:b/>
          <w:bCs/>
          <w:i w:val="0"/>
          <w:iCs w:val="0"/>
          <w:sz w:val="24"/>
          <w:szCs w:val="24"/>
        </w:rPr>
        <w:instrText xml:space="preserve"> SEQ Table \* ARABIC </w:instrText>
      </w:r>
      <w:r w:rsidRPr="00A465D2">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3</w:t>
      </w:r>
      <w:r w:rsidRPr="00A465D2">
        <w:rPr>
          <w:rFonts w:ascii="Times New Roman" w:hAnsi="Times New Roman" w:cs="Times New Roman"/>
          <w:b/>
          <w:bCs/>
          <w:i w:val="0"/>
          <w:iCs w:val="0"/>
          <w:sz w:val="24"/>
          <w:szCs w:val="24"/>
        </w:rPr>
        <w:fldChar w:fldCharType="end"/>
      </w:r>
      <w:r w:rsidRPr="00A465D2">
        <w:rPr>
          <w:rFonts w:ascii="Times New Roman" w:hAnsi="Times New Roman" w:cs="Times New Roman"/>
          <w:b/>
          <w:bCs/>
          <w:i w:val="0"/>
          <w:iCs w:val="0"/>
          <w:sz w:val="24"/>
          <w:szCs w:val="24"/>
        </w:rPr>
        <w:t xml:space="preserve"> Proportions of primary targets of financial education</w:t>
      </w:r>
    </w:p>
    <w:tbl>
      <w:tblPr>
        <w:tblW w:w="5000" w:type="pct"/>
        <w:tblLook w:val="04A0" w:firstRow="1" w:lastRow="0" w:firstColumn="1" w:lastColumn="0" w:noHBand="0" w:noVBand="1"/>
      </w:tblPr>
      <w:tblGrid>
        <w:gridCol w:w="4671"/>
        <w:gridCol w:w="1467"/>
        <w:gridCol w:w="1710"/>
        <w:gridCol w:w="1728"/>
      </w:tblGrid>
      <w:tr w:rsidR="00F051F3" w:rsidRPr="00F051F3" w14:paraId="425ABD69" w14:textId="77777777" w:rsidTr="00A465D2">
        <w:trPr>
          <w:trHeight w:val="494"/>
          <w:tblHeader/>
        </w:trPr>
        <w:tc>
          <w:tcPr>
            <w:tcW w:w="243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25ABD67"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Agencies</w:t>
            </w:r>
          </w:p>
        </w:tc>
        <w:tc>
          <w:tcPr>
            <w:tcW w:w="2561" w:type="pct"/>
            <w:gridSpan w:val="3"/>
            <w:tcBorders>
              <w:top w:val="single" w:sz="4" w:space="0" w:color="auto"/>
              <w:left w:val="nil"/>
              <w:bottom w:val="single" w:sz="4" w:space="0" w:color="auto"/>
              <w:right w:val="single" w:sz="4" w:space="0" w:color="auto"/>
            </w:tcBorders>
            <w:shd w:val="clear" w:color="auto" w:fill="BFBFBF" w:themeFill="background1" w:themeFillShade="BF"/>
            <w:noWrap/>
            <w:hideMark/>
          </w:tcPr>
          <w:p w14:paraId="425ABD68"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Result</w:t>
            </w:r>
          </w:p>
        </w:tc>
      </w:tr>
      <w:tr w:rsidR="00A465D2" w:rsidRPr="00F051F3" w14:paraId="425ABD6E" w14:textId="77777777" w:rsidTr="00A465D2">
        <w:trPr>
          <w:trHeight w:val="600"/>
          <w:tblHeader/>
        </w:trPr>
        <w:tc>
          <w:tcPr>
            <w:tcW w:w="243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ABD6A" w14:textId="77777777" w:rsidR="00F051F3" w:rsidRPr="00F051F3" w:rsidRDefault="00F051F3" w:rsidP="00F051F3">
            <w:pPr>
              <w:spacing w:before="120" w:after="120" w:line="240" w:lineRule="auto"/>
              <w:rPr>
                <w:rFonts w:ascii="Times New Roman" w:eastAsia="Times New Roman" w:hAnsi="Times New Roman" w:cs="Times New Roman"/>
                <w:b/>
                <w:bCs/>
                <w:color w:val="000000"/>
                <w:sz w:val="24"/>
                <w:szCs w:val="24"/>
              </w:rPr>
            </w:pPr>
          </w:p>
        </w:tc>
        <w:tc>
          <w:tcPr>
            <w:tcW w:w="766" w:type="pct"/>
            <w:tcBorders>
              <w:top w:val="nil"/>
              <w:left w:val="nil"/>
              <w:bottom w:val="single" w:sz="4" w:space="0" w:color="auto"/>
              <w:right w:val="single" w:sz="4" w:space="0" w:color="auto"/>
            </w:tcBorders>
            <w:shd w:val="clear" w:color="auto" w:fill="BFBFBF" w:themeFill="background1" w:themeFillShade="BF"/>
            <w:noWrap/>
            <w:hideMark/>
          </w:tcPr>
          <w:p w14:paraId="425ABD6B"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Total</w:t>
            </w:r>
          </w:p>
        </w:tc>
        <w:tc>
          <w:tcPr>
            <w:tcW w:w="893" w:type="pct"/>
            <w:tcBorders>
              <w:top w:val="nil"/>
              <w:left w:val="nil"/>
              <w:bottom w:val="single" w:sz="4" w:space="0" w:color="auto"/>
              <w:right w:val="single" w:sz="4" w:space="0" w:color="auto"/>
            </w:tcBorders>
            <w:shd w:val="clear" w:color="auto" w:fill="BFBFBF" w:themeFill="background1" w:themeFillShade="BF"/>
            <w:noWrap/>
            <w:hideMark/>
          </w:tcPr>
          <w:p w14:paraId="425ABD6C"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 of response</w:t>
            </w:r>
          </w:p>
        </w:tc>
        <w:tc>
          <w:tcPr>
            <w:tcW w:w="902" w:type="pct"/>
            <w:tcBorders>
              <w:top w:val="nil"/>
              <w:left w:val="nil"/>
              <w:bottom w:val="single" w:sz="4" w:space="0" w:color="auto"/>
              <w:right w:val="single" w:sz="4" w:space="0" w:color="auto"/>
            </w:tcBorders>
            <w:shd w:val="clear" w:color="auto" w:fill="BFBFBF" w:themeFill="background1" w:themeFillShade="BF"/>
            <w:hideMark/>
          </w:tcPr>
          <w:p w14:paraId="425ABD6D"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 of case (N=17)</w:t>
            </w:r>
          </w:p>
        </w:tc>
      </w:tr>
      <w:tr w:rsidR="00F051F3" w:rsidRPr="00F051F3" w14:paraId="425ABD73"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6F"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Young children</w:t>
            </w:r>
          </w:p>
        </w:tc>
        <w:tc>
          <w:tcPr>
            <w:tcW w:w="766" w:type="pct"/>
            <w:tcBorders>
              <w:top w:val="nil"/>
              <w:left w:val="nil"/>
              <w:bottom w:val="single" w:sz="4" w:space="0" w:color="auto"/>
              <w:right w:val="single" w:sz="4" w:space="0" w:color="auto"/>
            </w:tcBorders>
            <w:shd w:val="clear" w:color="auto" w:fill="auto"/>
            <w:noWrap/>
            <w:vAlign w:val="bottom"/>
            <w:hideMark/>
          </w:tcPr>
          <w:p w14:paraId="425ABD70"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14</w:t>
            </w:r>
          </w:p>
        </w:tc>
        <w:tc>
          <w:tcPr>
            <w:tcW w:w="893" w:type="pct"/>
            <w:tcBorders>
              <w:top w:val="nil"/>
              <w:left w:val="nil"/>
              <w:bottom w:val="single" w:sz="4" w:space="0" w:color="auto"/>
              <w:right w:val="single" w:sz="4" w:space="0" w:color="auto"/>
            </w:tcBorders>
            <w:shd w:val="clear" w:color="auto" w:fill="auto"/>
            <w:noWrap/>
            <w:vAlign w:val="bottom"/>
            <w:hideMark/>
          </w:tcPr>
          <w:p w14:paraId="425ABD71"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15.05</w:t>
            </w:r>
          </w:p>
        </w:tc>
        <w:tc>
          <w:tcPr>
            <w:tcW w:w="902" w:type="pct"/>
            <w:tcBorders>
              <w:top w:val="nil"/>
              <w:left w:val="nil"/>
              <w:bottom w:val="single" w:sz="4" w:space="0" w:color="auto"/>
              <w:right w:val="single" w:sz="4" w:space="0" w:color="auto"/>
            </w:tcBorders>
            <w:shd w:val="clear" w:color="auto" w:fill="auto"/>
            <w:noWrap/>
            <w:vAlign w:val="bottom"/>
            <w:hideMark/>
          </w:tcPr>
          <w:p w14:paraId="425ABD72"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82.35</w:t>
            </w:r>
          </w:p>
        </w:tc>
      </w:tr>
      <w:tr w:rsidR="00F051F3" w:rsidRPr="00F051F3" w14:paraId="425ABD78"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74"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Youth</w:t>
            </w:r>
          </w:p>
        </w:tc>
        <w:tc>
          <w:tcPr>
            <w:tcW w:w="766" w:type="pct"/>
            <w:tcBorders>
              <w:top w:val="nil"/>
              <w:left w:val="nil"/>
              <w:bottom w:val="single" w:sz="4" w:space="0" w:color="auto"/>
              <w:right w:val="single" w:sz="4" w:space="0" w:color="auto"/>
            </w:tcBorders>
            <w:shd w:val="clear" w:color="auto" w:fill="auto"/>
            <w:noWrap/>
            <w:vAlign w:val="bottom"/>
            <w:hideMark/>
          </w:tcPr>
          <w:p w14:paraId="425ABD75"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15</w:t>
            </w:r>
          </w:p>
        </w:tc>
        <w:tc>
          <w:tcPr>
            <w:tcW w:w="893" w:type="pct"/>
            <w:tcBorders>
              <w:top w:val="nil"/>
              <w:left w:val="nil"/>
              <w:bottom w:val="single" w:sz="4" w:space="0" w:color="auto"/>
              <w:right w:val="single" w:sz="4" w:space="0" w:color="auto"/>
            </w:tcBorders>
            <w:shd w:val="clear" w:color="auto" w:fill="auto"/>
            <w:noWrap/>
            <w:vAlign w:val="bottom"/>
            <w:hideMark/>
          </w:tcPr>
          <w:p w14:paraId="425ABD76"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16.13</w:t>
            </w:r>
          </w:p>
        </w:tc>
        <w:tc>
          <w:tcPr>
            <w:tcW w:w="902" w:type="pct"/>
            <w:tcBorders>
              <w:top w:val="nil"/>
              <w:left w:val="nil"/>
              <w:bottom w:val="single" w:sz="4" w:space="0" w:color="auto"/>
              <w:right w:val="single" w:sz="4" w:space="0" w:color="auto"/>
            </w:tcBorders>
            <w:shd w:val="clear" w:color="auto" w:fill="auto"/>
            <w:noWrap/>
            <w:vAlign w:val="bottom"/>
            <w:hideMark/>
          </w:tcPr>
          <w:p w14:paraId="425ABD77"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88.24</w:t>
            </w:r>
          </w:p>
        </w:tc>
      </w:tr>
      <w:tr w:rsidR="00F051F3" w:rsidRPr="00F051F3" w14:paraId="425ABD7D"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79"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lastRenderedPageBreak/>
              <w:t>Adult generally</w:t>
            </w:r>
          </w:p>
        </w:tc>
        <w:tc>
          <w:tcPr>
            <w:tcW w:w="766" w:type="pct"/>
            <w:tcBorders>
              <w:top w:val="nil"/>
              <w:left w:val="nil"/>
              <w:bottom w:val="single" w:sz="4" w:space="0" w:color="auto"/>
              <w:right w:val="single" w:sz="4" w:space="0" w:color="auto"/>
            </w:tcBorders>
            <w:shd w:val="clear" w:color="auto" w:fill="auto"/>
            <w:noWrap/>
            <w:vAlign w:val="bottom"/>
            <w:hideMark/>
          </w:tcPr>
          <w:p w14:paraId="425ABD7A"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13</w:t>
            </w:r>
          </w:p>
        </w:tc>
        <w:tc>
          <w:tcPr>
            <w:tcW w:w="893" w:type="pct"/>
            <w:tcBorders>
              <w:top w:val="nil"/>
              <w:left w:val="nil"/>
              <w:bottom w:val="single" w:sz="4" w:space="0" w:color="auto"/>
              <w:right w:val="single" w:sz="4" w:space="0" w:color="auto"/>
            </w:tcBorders>
            <w:shd w:val="clear" w:color="auto" w:fill="auto"/>
            <w:noWrap/>
            <w:vAlign w:val="bottom"/>
            <w:hideMark/>
          </w:tcPr>
          <w:p w14:paraId="425ABD7B"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13.98</w:t>
            </w:r>
          </w:p>
        </w:tc>
        <w:tc>
          <w:tcPr>
            <w:tcW w:w="902" w:type="pct"/>
            <w:tcBorders>
              <w:top w:val="nil"/>
              <w:left w:val="nil"/>
              <w:bottom w:val="single" w:sz="4" w:space="0" w:color="auto"/>
              <w:right w:val="single" w:sz="4" w:space="0" w:color="auto"/>
            </w:tcBorders>
            <w:shd w:val="clear" w:color="auto" w:fill="auto"/>
            <w:noWrap/>
            <w:vAlign w:val="bottom"/>
            <w:hideMark/>
          </w:tcPr>
          <w:p w14:paraId="425ABD7C"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76.47</w:t>
            </w:r>
          </w:p>
        </w:tc>
      </w:tr>
      <w:tr w:rsidR="00F051F3" w:rsidRPr="00F051F3" w14:paraId="425ABD82"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7E"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Low income population</w:t>
            </w:r>
          </w:p>
        </w:tc>
        <w:tc>
          <w:tcPr>
            <w:tcW w:w="766" w:type="pct"/>
            <w:tcBorders>
              <w:top w:val="nil"/>
              <w:left w:val="nil"/>
              <w:bottom w:val="single" w:sz="4" w:space="0" w:color="auto"/>
              <w:right w:val="single" w:sz="4" w:space="0" w:color="auto"/>
            </w:tcBorders>
            <w:shd w:val="clear" w:color="auto" w:fill="auto"/>
            <w:noWrap/>
            <w:vAlign w:val="bottom"/>
            <w:hideMark/>
          </w:tcPr>
          <w:p w14:paraId="425ABD7F"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12</w:t>
            </w:r>
          </w:p>
        </w:tc>
        <w:tc>
          <w:tcPr>
            <w:tcW w:w="893" w:type="pct"/>
            <w:tcBorders>
              <w:top w:val="nil"/>
              <w:left w:val="nil"/>
              <w:bottom w:val="single" w:sz="4" w:space="0" w:color="auto"/>
              <w:right w:val="single" w:sz="4" w:space="0" w:color="auto"/>
            </w:tcBorders>
            <w:shd w:val="clear" w:color="auto" w:fill="auto"/>
            <w:noWrap/>
            <w:vAlign w:val="bottom"/>
            <w:hideMark/>
          </w:tcPr>
          <w:p w14:paraId="425ABD80"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12.90</w:t>
            </w:r>
          </w:p>
        </w:tc>
        <w:tc>
          <w:tcPr>
            <w:tcW w:w="902" w:type="pct"/>
            <w:tcBorders>
              <w:top w:val="nil"/>
              <w:left w:val="nil"/>
              <w:bottom w:val="single" w:sz="4" w:space="0" w:color="auto"/>
              <w:right w:val="single" w:sz="4" w:space="0" w:color="auto"/>
            </w:tcBorders>
            <w:shd w:val="clear" w:color="auto" w:fill="auto"/>
            <w:noWrap/>
            <w:vAlign w:val="bottom"/>
            <w:hideMark/>
          </w:tcPr>
          <w:p w14:paraId="425ABD81"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70.59</w:t>
            </w:r>
          </w:p>
        </w:tc>
      </w:tr>
      <w:tr w:rsidR="00F051F3" w:rsidRPr="00F051F3" w14:paraId="425ABD87"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83"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Single parents</w:t>
            </w:r>
          </w:p>
        </w:tc>
        <w:tc>
          <w:tcPr>
            <w:tcW w:w="766" w:type="pct"/>
            <w:tcBorders>
              <w:top w:val="nil"/>
              <w:left w:val="nil"/>
              <w:bottom w:val="single" w:sz="4" w:space="0" w:color="auto"/>
              <w:right w:val="single" w:sz="4" w:space="0" w:color="auto"/>
            </w:tcBorders>
            <w:shd w:val="clear" w:color="auto" w:fill="auto"/>
            <w:noWrap/>
            <w:vAlign w:val="bottom"/>
            <w:hideMark/>
          </w:tcPr>
          <w:p w14:paraId="425ABD84"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3</w:t>
            </w:r>
          </w:p>
        </w:tc>
        <w:tc>
          <w:tcPr>
            <w:tcW w:w="893" w:type="pct"/>
            <w:tcBorders>
              <w:top w:val="nil"/>
              <w:left w:val="nil"/>
              <w:bottom w:val="single" w:sz="4" w:space="0" w:color="auto"/>
              <w:right w:val="single" w:sz="4" w:space="0" w:color="auto"/>
            </w:tcBorders>
            <w:shd w:val="clear" w:color="auto" w:fill="auto"/>
            <w:noWrap/>
            <w:vAlign w:val="bottom"/>
            <w:hideMark/>
          </w:tcPr>
          <w:p w14:paraId="425ABD85"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3.23</w:t>
            </w:r>
          </w:p>
        </w:tc>
        <w:tc>
          <w:tcPr>
            <w:tcW w:w="902" w:type="pct"/>
            <w:tcBorders>
              <w:top w:val="nil"/>
              <w:left w:val="nil"/>
              <w:bottom w:val="single" w:sz="4" w:space="0" w:color="auto"/>
              <w:right w:val="single" w:sz="4" w:space="0" w:color="auto"/>
            </w:tcBorders>
            <w:shd w:val="clear" w:color="auto" w:fill="auto"/>
            <w:noWrap/>
            <w:vAlign w:val="bottom"/>
            <w:hideMark/>
          </w:tcPr>
          <w:p w14:paraId="425ABD86"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17.65</w:t>
            </w:r>
          </w:p>
        </w:tc>
      </w:tr>
      <w:tr w:rsidR="00F051F3" w:rsidRPr="00F051F3" w14:paraId="425ABD8C"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88"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Women</w:t>
            </w:r>
          </w:p>
        </w:tc>
        <w:tc>
          <w:tcPr>
            <w:tcW w:w="766" w:type="pct"/>
            <w:tcBorders>
              <w:top w:val="nil"/>
              <w:left w:val="nil"/>
              <w:bottom w:val="single" w:sz="4" w:space="0" w:color="auto"/>
              <w:right w:val="single" w:sz="4" w:space="0" w:color="auto"/>
            </w:tcBorders>
            <w:shd w:val="clear" w:color="auto" w:fill="auto"/>
            <w:noWrap/>
            <w:vAlign w:val="bottom"/>
            <w:hideMark/>
          </w:tcPr>
          <w:p w14:paraId="425ABD89"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w:t>
            </w:r>
          </w:p>
        </w:tc>
        <w:tc>
          <w:tcPr>
            <w:tcW w:w="893" w:type="pct"/>
            <w:tcBorders>
              <w:top w:val="nil"/>
              <w:left w:val="nil"/>
              <w:bottom w:val="single" w:sz="4" w:space="0" w:color="auto"/>
              <w:right w:val="single" w:sz="4" w:space="0" w:color="auto"/>
            </w:tcBorders>
            <w:shd w:val="clear" w:color="auto" w:fill="auto"/>
            <w:noWrap/>
            <w:vAlign w:val="bottom"/>
            <w:hideMark/>
          </w:tcPr>
          <w:p w14:paraId="425ABD8A"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7.53</w:t>
            </w:r>
          </w:p>
        </w:tc>
        <w:tc>
          <w:tcPr>
            <w:tcW w:w="902" w:type="pct"/>
            <w:tcBorders>
              <w:top w:val="nil"/>
              <w:left w:val="nil"/>
              <w:bottom w:val="single" w:sz="4" w:space="0" w:color="auto"/>
              <w:right w:val="single" w:sz="4" w:space="0" w:color="auto"/>
            </w:tcBorders>
            <w:shd w:val="clear" w:color="auto" w:fill="auto"/>
            <w:noWrap/>
            <w:vAlign w:val="bottom"/>
            <w:hideMark/>
          </w:tcPr>
          <w:p w14:paraId="425ABD8B"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41.18</w:t>
            </w:r>
          </w:p>
        </w:tc>
      </w:tr>
      <w:tr w:rsidR="00F051F3" w:rsidRPr="00F051F3" w14:paraId="425ABD91"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8D"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Minorities</w:t>
            </w:r>
          </w:p>
        </w:tc>
        <w:tc>
          <w:tcPr>
            <w:tcW w:w="766" w:type="pct"/>
            <w:tcBorders>
              <w:top w:val="nil"/>
              <w:left w:val="nil"/>
              <w:bottom w:val="single" w:sz="4" w:space="0" w:color="auto"/>
              <w:right w:val="single" w:sz="4" w:space="0" w:color="auto"/>
            </w:tcBorders>
            <w:shd w:val="clear" w:color="auto" w:fill="auto"/>
            <w:noWrap/>
            <w:vAlign w:val="bottom"/>
            <w:hideMark/>
          </w:tcPr>
          <w:p w14:paraId="425ABD8E"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6</w:t>
            </w:r>
          </w:p>
        </w:tc>
        <w:tc>
          <w:tcPr>
            <w:tcW w:w="893" w:type="pct"/>
            <w:tcBorders>
              <w:top w:val="nil"/>
              <w:left w:val="nil"/>
              <w:bottom w:val="single" w:sz="4" w:space="0" w:color="auto"/>
              <w:right w:val="single" w:sz="4" w:space="0" w:color="auto"/>
            </w:tcBorders>
            <w:shd w:val="clear" w:color="auto" w:fill="auto"/>
            <w:noWrap/>
            <w:vAlign w:val="bottom"/>
            <w:hideMark/>
          </w:tcPr>
          <w:p w14:paraId="425ABD8F"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6.45</w:t>
            </w:r>
          </w:p>
        </w:tc>
        <w:tc>
          <w:tcPr>
            <w:tcW w:w="902" w:type="pct"/>
            <w:tcBorders>
              <w:top w:val="nil"/>
              <w:left w:val="nil"/>
              <w:bottom w:val="single" w:sz="4" w:space="0" w:color="auto"/>
              <w:right w:val="single" w:sz="4" w:space="0" w:color="auto"/>
            </w:tcBorders>
            <w:shd w:val="clear" w:color="auto" w:fill="auto"/>
            <w:noWrap/>
            <w:vAlign w:val="bottom"/>
            <w:hideMark/>
          </w:tcPr>
          <w:p w14:paraId="425ABD90"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35.29</w:t>
            </w:r>
          </w:p>
        </w:tc>
      </w:tr>
      <w:tr w:rsidR="00F051F3" w:rsidRPr="00F051F3" w14:paraId="425ABD96"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92"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Senior citizens</w:t>
            </w:r>
          </w:p>
        </w:tc>
        <w:tc>
          <w:tcPr>
            <w:tcW w:w="766" w:type="pct"/>
            <w:tcBorders>
              <w:top w:val="nil"/>
              <w:left w:val="nil"/>
              <w:bottom w:val="single" w:sz="4" w:space="0" w:color="auto"/>
              <w:right w:val="single" w:sz="4" w:space="0" w:color="auto"/>
            </w:tcBorders>
            <w:shd w:val="clear" w:color="auto" w:fill="auto"/>
            <w:noWrap/>
            <w:vAlign w:val="bottom"/>
            <w:hideMark/>
          </w:tcPr>
          <w:p w14:paraId="425ABD93"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w:t>
            </w:r>
          </w:p>
        </w:tc>
        <w:tc>
          <w:tcPr>
            <w:tcW w:w="893" w:type="pct"/>
            <w:tcBorders>
              <w:top w:val="nil"/>
              <w:left w:val="nil"/>
              <w:bottom w:val="single" w:sz="4" w:space="0" w:color="auto"/>
              <w:right w:val="single" w:sz="4" w:space="0" w:color="auto"/>
            </w:tcBorders>
            <w:shd w:val="clear" w:color="auto" w:fill="auto"/>
            <w:noWrap/>
            <w:vAlign w:val="bottom"/>
            <w:hideMark/>
          </w:tcPr>
          <w:p w14:paraId="425ABD94"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7.53</w:t>
            </w:r>
          </w:p>
        </w:tc>
        <w:tc>
          <w:tcPr>
            <w:tcW w:w="902" w:type="pct"/>
            <w:tcBorders>
              <w:top w:val="nil"/>
              <w:left w:val="nil"/>
              <w:bottom w:val="single" w:sz="4" w:space="0" w:color="auto"/>
              <w:right w:val="single" w:sz="4" w:space="0" w:color="auto"/>
            </w:tcBorders>
            <w:shd w:val="clear" w:color="auto" w:fill="auto"/>
            <w:noWrap/>
            <w:vAlign w:val="bottom"/>
            <w:hideMark/>
          </w:tcPr>
          <w:p w14:paraId="425ABD95"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41.18</w:t>
            </w:r>
          </w:p>
        </w:tc>
      </w:tr>
      <w:tr w:rsidR="00F051F3" w:rsidRPr="00F051F3" w14:paraId="425ABD9B"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97"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 xml:space="preserve">Rural/urban </w:t>
            </w:r>
          </w:p>
        </w:tc>
        <w:tc>
          <w:tcPr>
            <w:tcW w:w="766" w:type="pct"/>
            <w:tcBorders>
              <w:top w:val="nil"/>
              <w:left w:val="nil"/>
              <w:bottom w:val="single" w:sz="4" w:space="0" w:color="auto"/>
              <w:right w:val="single" w:sz="4" w:space="0" w:color="auto"/>
            </w:tcBorders>
            <w:shd w:val="clear" w:color="auto" w:fill="auto"/>
            <w:noWrap/>
            <w:vAlign w:val="bottom"/>
            <w:hideMark/>
          </w:tcPr>
          <w:p w14:paraId="425ABD98"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4</w:t>
            </w:r>
          </w:p>
        </w:tc>
        <w:tc>
          <w:tcPr>
            <w:tcW w:w="893" w:type="pct"/>
            <w:tcBorders>
              <w:top w:val="nil"/>
              <w:left w:val="nil"/>
              <w:bottom w:val="single" w:sz="4" w:space="0" w:color="auto"/>
              <w:right w:val="single" w:sz="4" w:space="0" w:color="auto"/>
            </w:tcBorders>
            <w:shd w:val="clear" w:color="auto" w:fill="auto"/>
            <w:noWrap/>
            <w:vAlign w:val="bottom"/>
            <w:hideMark/>
          </w:tcPr>
          <w:p w14:paraId="425ABD99"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4.30</w:t>
            </w:r>
          </w:p>
        </w:tc>
        <w:tc>
          <w:tcPr>
            <w:tcW w:w="902" w:type="pct"/>
            <w:tcBorders>
              <w:top w:val="nil"/>
              <w:left w:val="nil"/>
              <w:bottom w:val="single" w:sz="4" w:space="0" w:color="auto"/>
              <w:right w:val="single" w:sz="4" w:space="0" w:color="auto"/>
            </w:tcBorders>
            <w:shd w:val="clear" w:color="auto" w:fill="auto"/>
            <w:noWrap/>
            <w:vAlign w:val="bottom"/>
            <w:hideMark/>
          </w:tcPr>
          <w:p w14:paraId="425ABD9A"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23.53</w:t>
            </w:r>
          </w:p>
        </w:tc>
      </w:tr>
      <w:tr w:rsidR="00F051F3" w:rsidRPr="00F051F3" w14:paraId="425ABDA0"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9C" w14:textId="77777777" w:rsidR="00F051F3" w:rsidRPr="00F051F3" w:rsidRDefault="00F051F3" w:rsidP="00F051F3">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SMEs</w:t>
            </w:r>
          </w:p>
        </w:tc>
        <w:tc>
          <w:tcPr>
            <w:tcW w:w="766" w:type="pct"/>
            <w:tcBorders>
              <w:top w:val="nil"/>
              <w:left w:val="nil"/>
              <w:bottom w:val="single" w:sz="4" w:space="0" w:color="auto"/>
              <w:right w:val="single" w:sz="4" w:space="0" w:color="auto"/>
            </w:tcBorders>
            <w:shd w:val="clear" w:color="auto" w:fill="auto"/>
            <w:noWrap/>
            <w:vAlign w:val="bottom"/>
            <w:hideMark/>
          </w:tcPr>
          <w:p w14:paraId="425ABD9D"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12</w:t>
            </w:r>
          </w:p>
        </w:tc>
        <w:tc>
          <w:tcPr>
            <w:tcW w:w="893" w:type="pct"/>
            <w:tcBorders>
              <w:top w:val="nil"/>
              <w:left w:val="nil"/>
              <w:bottom w:val="single" w:sz="4" w:space="0" w:color="auto"/>
              <w:right w:val="single" w:sz="4" w:space="0" w:color="auto"/>
            </w:tcBorders>
            <w:shd w:val="clear" w:color="auto" w:fill="auto"/>
            <w:noWrap/>
            <w:vAlign w:val="bottom"/>
            <w:hideMark/>
          </w:tcPr>
          <w:p w14:paraId="425ABD9E"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12.90</w:t>
            </w:r>
          </w:p>
        </w:tc>
        <w:tc>
          <w:tcPr>
            <w:tcW w:w="902" w:type="pct"/>
            <w:tcBorders>
              <w:top w:val="nil"/>
              <w:left w:val="nil"/>
              <w:bottom w:val="single" w:sz="4" w:space="0" w:color="auto"/>
              <w:right w:val="single" w:sz="4" w:space="0" w:color="auto"/>
            </w:tcBorders>
            <w:shd w:val="clear" w:color="auto" w:fill="auto"/>
            <w:noWrap/>
            <w:vAlign w:val="bottom"/>
            <w:hideMark/>
          </w:tcPr>
          <w:p w14:paraId="425ABD9F" w14:textId="77777777" w:rsidR="00F051F3" w:rsidRPr="00F051F3" w:rsidRDefault="00F051F3" w:rsidP="00F051F3">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70.59</w:t>
            </w:r>
          </w:p>
        </w:tc>
      </w:tr>
      <w:tr w:rsidR="00F051F3" w:rsidRPr="00F051F3" w14:paraId="425ABDA5"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A1" w14:textId="77777777" w:rsidR="00F051F3" w:rsidRPr="00F051F3" w:rsidRDefault="00F051F3" w:rsidP="00F051F3">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Total</w:t>
            </w:r>
          </w:p>
        </w:tc>
        <w:tc>
          <w:tcPr>
            <w:tcW w:w="766" w:type="pct"/>
            <w:tcBorders>
              <w:top w:val="nil"/>
              <w:left w:val="nil"/>
              <w:bottom w:val="single" w:sz="4" w:space="0" w:color="auto"/>
              <w:right w:val="single" w:sz="4" w:space="0" w:color="auto"/>
            </w:tcBorders>
            <w:shd w:val="clear" w:color="auto" w:fill="auto"/>
            <w:noWrap/>
            <w:vAlign w:val="bottom"/>
            <w:hideMark/>
          </w:tcPr>
          <w:p w14:paraId="425ABDA2" w14:textId="77777777" w:rsidR="00F051F3" w:rsidRPr="00F051F3" w:rsidRDefault="00F051F3" w:rsidP="00F051F3">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93</w:t>
            </w:r>
          </w:p>
        </w:tc>
        <w:tc>
          <w:tcPr>
            <w:tcW w:w="893" w:type="pct"/>
            <w:tcBorders>
              <w:top w:val="nil"/>
              <w:left w:val="nil"/>
              <w:bottom w:val="single" w:sz="4" w:space="0" w:color="auto"/>
              <w:right w:val="single" w:sz="4" w:space="0" w:color="auto"/>
            </w:tcBorders>
            <w:shd w:val="clear" w:color="auto" w:fill="auto"/>
            <w:noWrap/>
            <w:vAlign w:val="bottom"/>
            <w:hideMark/>
          </w:tcPr>
          <w:p w14:paraId="425ABDA3" w14:textId="77777777" w:rsidR="00F051F3" w:rsidRPr="00F051F3" w:rsidRDefault="00F051F3" w:rsidP="00F051F3">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100.00</w:t>
            </w:r>
          </w:p>
        </w:tc>
        <w:tc>
          <w:tcPr>
            <w:tcW w:w="902" w:type="pct"/>
            <w:tcBorders>
              <w:top w:val="nil"/>
              <w:left w:val="nil"/>
              <w:bottom w:val="single" w:sz="4" w:space="0" w:color="auto"/>
              <w:right w:val="single" w:sz="4" w:space="0" w:color="auto"/>
            </w:tcBorders>
            <w:shd w:val="clear" w:color="auto" w:fill="auto"/>
            <w:noWrap/>
            <w:vAlign w:val="bottom"/>
            <w:hideMark/>
          </w:tcPr>
          <w:p w14:paraId="425ABDA4" w14:textId="77777777" w:rsidR="00F051F3" w:rsidRPr="00F051F3" w:rsidRDefault="00F051F3" w:rsidP="00F051F3">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547.06</w:t>
            </w:r>
          </w:p>
        </w:tc>
      </w:tr>
    </w:tbl>
    <w:p w14:paraId="425ABDA6" w14:textId="77777777" w:rsidR="00A465D2" w:rsidRPr="00A465D2" w:rsidRDefault="00A465D2" w:rsidP="00F051F3">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DA7" w14:textId="6A856B45" w:rsidR="00F051F3" w:rsidRPr="00A465D2" w:rsidRDefault="00A465D2" w:rsidP="00DD7E5C">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government sector is the key agency in driving financial education, </w:t>
      </w:r>
      <w:r w:rsidR="00DD7E5C">
        <w:rPr>
          <w:rFonts w:ascii="Times New Roman" w:hAnsi="Times New Roman" w:cs="Times New Roman"/>
          <w:sz w:val="24"/>
          <w:szCs w:val="24"/>
        </w:rPr>
        <w:t xml:space="preserve">it is </w:t>
      </w:r>
      <w:proofErr w:type="spellStart"/>
      <w:r w:rsidR="00DD7E5C">
        <w:rPr>
          <w:rFonts w:ascii="Times New Roman" w:hAnsi="Times New Roman" w:cs="Times New Roman"/>
          <w:sz w:val="24"/>
          <w:szCs w:val="24"/>
        </w:rPr>
        <w:t>evidentthat</w:t>
      </w:r>
      <w:proofErr w:type="spellEnd"/>
      <w:r w:rsidR="00DD7E5C">
        <w:rPr>
          <w:rFonts w:ascii="Times New Roman" w:hAnsi="Times New Roman" w:cs="Times New Roman"/>
          <w:sz w:val="24"/>
          <w:szCs w:val="24"/>
        </w:rPr>
        <w:t xml:space="preserve"> there are other organizations </w:t>
      </w:r>
      <w:r w:rsidR="008F43F9">
        <w:rPr>
          <w:rFonts w:ascii="Times New Roman" w:hAnsi="Times New Roman" w:cs="Times New Roman"/>
          <w:sz w:val="24"/>
          <w:szCs w:val="24"/>
        </w:rPr>
        <w:t xml:space="preserve">providing </w:t>
      </w:r>
      <w:r w:rsidR="00DD7E5C">
        <w:rPr>
          <w:rFonts w:ascii="Times New Roman" w:hAnsi="Times New Roman" w:cs="Times New Roman"/>
          <w:sz w:val="24"/>
          <w:szCs w:val="24"/>
        </w:rPr>
        <w:t>financial literacy education. In Canada, t</w:t>
      </w:r>
      <w:r w:rsidR="00DD7E5C" w:rsidRPr="00DD7E5C">
        <w:rPr>
          <w:rFonts w:ascii="Times New Roman" w:hAnsi="Times New Roman" w:cs="Times New Roman"/>
          <w:sz w:val="24"/>
          <w:szCs w:val="24"/>
        </w:rPr>
        <w:t xml:space="preserve">here are many different partnerships between non-governmental organizations and financial institutions, as well as between governments and non-governmental organizations. </w:t>
      </w:r>
      <w:r w:rsidR="00DD7E5C">
        <w:rPr>
          <w:rFonts w:ascii="Times New Roman" w:hAnsi="Times New Roman" w:cs="Times New Roman"/>
          <w:sz w:val="24"/>
          <w:szCs w:val="24"/>
        </w:rPr>
        <w:t xml:space="preserve">In </w:t>
      </w:r>
      <w:r w:rsidR="008F43F9">
        <w:rPr>
          <w:rFonts w:ascii="Times New Roman" w:hAnsi="Times New Roman" w:cs="Times New Roman"/>
          <w:sz w:val="24"/>
          <w:szCs w:val="24"/>
        </w:rPr>
        <w:t xml:space="preserve">the </w:t>
      </w:r>
      <w:r w:rsidR="00DD7E5C">
        <w:rPr>
          <w:rFonts w:ascii="Times New Roman" w:hAnsi="Times New Roman" w:cs="Times New Roman"/>
          <w:sz w:val="24"/>
          <w:szCs w:val="24"/>
        </w:rPr>
        <w:t>case of Singapore, there is t</w:t>
      </w:r>
      <w:r w:rsidR="00DD7E5C" w:rsidRPr="00DD7E5C">
        <w:rPr>
          <w:rFonts w:ascii="Times New Roman" w:hAnsi="Times New Roman" w:cs="Times New Roman"/>
          <w:sz w:val="24"/>
          <w:szCs w:val="24"/>
        </w:rPr>
        <w:t>he I</w:t>
      </w:r>
      <w:r w:rsidR="00DD7E5C">
        <w:rPr>
          <w:rFonts w:ascii="Times New Roman" w:hAnsi="Times New Roman" w:cs="Times New Roman"/>
          <w:sz w:val="24"/>
          <w:szCs w:val="24"/>
        </w:rPr>
        <w:t xml:space="preserve">nstitute for Financial Literacy. The institute </w:t>
      </w:r>
      <w:r w:rsidR="00DD7E5C" w:rsidRPr="00DD7E5C">
        <w:rPr>
          <w:rFonts w:ascii="Times New Roman" w:hAnsi="Times New Roman" w:cs="Times New Roman"/>
          <w:sz w:val="24"/>
          <w:szCs w:val="24"/>
        </w:rPr>
        <w:t xml:space="preserve">is a </w:t>
      </w:r>
      <w:r w:rsidR="008F43F9" w:rsidRPr="00DD7E5C">
        <w:rPr>
          <w:rFonts w:ascii="Times New Roman" w:hAnsi="Times New Roman" w:cs="Times New Roman"/>
          <w:sz w:val="24"/>
          <w:szCs w:val="24"/>
        </w:rPr>
        <w:t>collaborat</w:t>
      </w:r>
      <w:r w:rsidR="008F43F9">
        <w:rPr>
          <w:rFonts w:ascii="Times New Roman" w:hAnsi="Times New Roman" w:cs="Times New Roman"/>
          <w:sz w:val="24"/>
          <w:szCs w:val="24"/>
        </w:rPr>
        <w:t>ive effort</w:t>
      </w:r>
      <w:r w:rsidR="008F43F9" w:rsidRPr="00DD7E5C">
        <w:rPr>
          <w:rFonts w:ascii="Times New Roman" w:hAnsi="Times New Roman" w:cs="Times New Roman"/>
          <w:sz w:val="24"/>
          <w:szCs w:val="24"/>
        </w:rPr>
        <w:t xml:space="preserve"> </w:t>
      </w:r>
      <w:r w:rsidR="00DD7E5C" w:rsidRPr="00DD7E5C">
        <w:rPr>
          <w:rFonts w:ascii="Times New Roman" w:hAnsi="Times New Roman" w:cs="Times New Roman"/>
          <w:sz w:val="24"/>
          <w:szCs w:val="24"/>
        </w:rPr>
        <w:t xml:space="preserve">between </w:t>
      </w:r>
      <w:proofErr w:type="spellStart"/>
      <w:r w:rsidR="00DD7E5C" w:rsidRPr="00DD7E5C">
        <w:rPr>
          <w:rFonts w:ascii="Times New Roman" w:hAnsi="Times New Roman" w:cs="Times New Roman"/>
          <w:sz w:val="24"/>
          <w:szCs w:val="24"/>
        </w:rPr>
        <w:t>MoneySENSE</w:t>
      </w:r>
      <w:proofErr w:type="spellEnd"/>
      <w:r w:rsidR="00DD7E5C" w:rsidRPr="00DD7E5C">
        <w:rPr>
          <w:rFonts w:ascii="Times New Roman" w:hAnsi="Times New Roman" w:cs="Times New Roman"/>
          <w:sz w:val="24"/>
          <w:szCs w:val="24"/>
        </w:rPr>
        <w:t xml:space="preserve"> (a national financial education program </w:t>
      </w:r>
      <w:r w:rsidR="00347D80">
        <w:rPr>
          <w:rFonts w:ascii="Times New Roman" w:hAnsi="Times New Roman" w:cs="Times New Roman"/>
          <w:sz w:val="24"/>
          <w:szCs w:val="24"/>
        </w:rPr>
        <w:t>started</w:t>
      </w:r>
      <w:r w:rsidR="00347D80" w:rsidRPr="00DD7E5C">
        <w:rPr>
          <w:rFonts w:ascii="Times New Roman" w:hAnsi="Times New Roman" w:cs="Times New Roman"/>
          <w:sz w:val="24"/>
          <w:szCs w:val="24"/>
        </w:rPr>
        <w:t xml:space="preserve"> </w:t>
      </w:r>
      <w:r w:rsidR="00DD7E5C" w:rsidRPr="00DD7E5C">
        <w:rPr>
          <w:rFonts w:ascii="Times New Roman" w:hAnsi="Times New Roman" w:cs="Times New Roman"/>
          <w:sz w:val="24"/>
          <w:szCs w:val="24"/>
        </w:rPr>
        <w:t xml:space="preserve">by the public-sector Financial Education Steering Committee) and Singapore Polytechnic. </w:t>
      </w:r>
      <w:r w:rsidR="00DD7E5C">
        <w:rPr>
          <w:rFonts w:ascii="Times New Roman" w:hAnsi="Times New Roman" w:cs="Times New Roman"/>
          <w:sz w:val="24"/>
          <w:szCs w:val="24"/>
        </w:rPr>
        <w:t>In this survey, it pointed out that</w:t>
      </w:r>
      <w:r>
        <w:rPr>
          <w:rFonts w:ascii="Times New Roman" w:hAnsi="Times New Roman" w:cs="Times New Roman"/>
          <w:sz w:val="24"/>
          <w:szCs w:val="24"/>
        </w:rPr>
        <w:t xml:space="preserve"> corporations are also key agencies providing financial education among the APEC </w:t>
      </w:r>
      <w:r w:rsidR="00F56E72">
        <w:rPr>
          <w:rFonts w:ascii="Times New Roman" w:hAnsi="Times New Roman" w:cs="Times New Roman"/>
          <w:sz w:val="24"/>
          <w:szCs w:val="24"/>
        </w:rPr>
        <w:t>econom</w:t>
      </w:r>
      <w:r>
        <w:rPr>
          <w:rFonts w:ascii="Times New Roman" w:hAnsi="Times New Roman" w:cs="Times New Roman"/>
          <w:sz w:val="24"/>
          <w:szCs w:val="24"/>
        </w:rPr>
        <w:t xml:space="preserve">ies. </w:t>
      </w:r>
    </w:p>
    <w:p w14:paraId="425ABDA8" w14:textId="77777777" w:rsidR="00DD7E5C" w:rsidRPr="00DD7E5C" w:rsidRDefault="00DD7E5C" w:rsidP="00DD7E5C">
      <w:pPr>
        <w:pStyle w:val="Caption"/>
        <w:keepNext/>
        <w:rPr>
          <w:rFonts w:ascii="Times New Roman" w:hAnsi="Times New Roman" w:cs="Times New Roman"/>
          <w:b/>
          <w:bCs/>
          <w:i w:val="0"/>
          <w:iCs w:val="0"/>
          <w:sz w:val="24"/>
          <w:szCs w:val="24"/>
        </w:rPr>
      </w:pPr>
      <w:r w:rsidRPr="00DD7E5C">
        <w:rPr>
          <w:rFonts w:ascii="Times New Roman" w:hAnsi="Times New Roman" w:cs="Times New Roman"/>
          <w:b/>
          <w:bCs/>
          <w:i w:val="0"/>
          <w:iCs w:val="0"/>
          <w:sz w:val="24"/>
          <w:szCs w:val="24"/>
        </w:rPr>
        <w:t xml:space="preserve">Table </w:t>
      </w:r>
      <w:r w:rsidRPr="00DD7E5C">
        <w:rPr>
          <w:rFonts w:ascii="Times New Roman" w:hAnsi="Times New Roman" w:cs="Times New Roman"/>
          <w:b/>
          <w:bCs/>
          <w:i w:val="0"/>
          <w:iCs w:val="0"/>
          <w:sz w:val="24"/>
          <w:szCs w:val="24"/>
        </w:rPr>
        <w:fldChar w:fldCharType="begin"/>
      </w:r>
      <w:r w:rsidRPr="00DD7E5C">
        <w:rPr>
          <w:rFonts w:ascii="Times New Roman" w:hAnsi="Times New Roman" w:cs="Times New Roman"/>
          <w:b/>
          <w:bCs/>
          <w:i w:val="0"/>
          <w:iCs w:val="0"/>
          <w:sz w:val="24"/>
          <w:szCs w:val="24"/>
        </w:rPr>
        <w:instrText xml:space="preserve"> SEQ Table \* ARABIC </w:instrText>
      </w:r>
      <w:r w:rsidRPr="00DD7E5C">
        <w:rPr>
          <w:rFonts w:ascii="Times New Roman" w:hAnsi="Times New Roman" w:cs="Times New Roman"/>
          <w:b/>
          <w:bCs/>
          <w:i w:val="0"/>
          <w:iCs w:val="0"/>
          <w:sz w:val="24"/>
          <w:szCs w:val="24"/>
        </w:rPr>
        <w:fldChar w:fldCharType="separate"/>
      </w:r>
      <w:r w:rsidR="00BF12A8">
        <w:rPr>
          <w:rFonts w:ascii="Times New Roman" w:hAnsi="Times New Roman" w:cs="Times New Roman"/>
          <w:b/>
          <w:bCs/>
          <w:i w:val="0"/>
          <w:iCs w:val="0"/>
          <w:noProof/>
          <w:sz w:val="24"/>
          <w:szCs w:val="24"/>
        </w:rPr>
        <w:t>4</w:t>
      </w:r>
      <w:r w:rsidRPr="00DD7E5C">
        <w:rPr>
          <w:rFonts w:ascii="Times New Roman" w:hAnsi="Times New Roman" w:cs="Times New Roman"/>
          <w:b/>
          <w:bCs/>
          <w:i w:val="0"/>
          <w:iCs w:val="0"/>
          <w:sz w:val="24"/>
          <w:szCs w:val="24"/>
        </w:rPr>
        <w:fldChar w:fldCharType="end"/>
      </w:r>
      <w:r w:rsidRPr="00DD7E5C">
        <w:rPr>
          <w:rFonts w:ascii="Times New Roman" w:hAnsi="Times New Roman" w:cs="Times New Roman"/>
          <w:b/>
          <w:bCs/>
          <w:i w:val="0"/>
          <w:iCs w:val="0"/>
          <w:sz w:val="24"/>
          <w:szCs w:val="24"/>
        </w:rPr>
        <w:t xml:space="preserve"> Proportion of Agencies Providing Financial Literacy Education</w:t>
      </w:r>
    </w:p>
    <w:tbl>
      <w:tblPr>
        <w:tblW w:w="5000" w:type="pct"/>
        <w:tblLook w:val="04A0" w:firstRow="1" w:lastRow="0" w:firstColumn="1" w:lastColumn="0" w:noHBand="0" w:noVBand="1"/>
      </w:tblPr>
      <w:tblGrid>
        <w:gridCol w:w="4671"/>
        <w:gridCol w:w="1358"/>
        <w:gridCol w:w="1712"/>
        <w:gridCol w:w="1835"/>
      </w:tblGrid>
      <w:tr w:rsidR="00F051F3" w:rsidRPr="00F051F3" w14:paraId="425ABDAB" w14:textId="77777777" w:rsidTr="00DD7E5C">
        <w:trPr>
          <w:trHeight w:val="300"/>
          <w:tblHeader/>
        </w:trPr>
        <w:tc>
          <w:tcPr>
            <w:tcW w:w="243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25ABDA9"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Agencies</w:t>
            </w:r>
          </w:p>
        </w:tc>
        <w:tc>
          <w:tcPr>
            <w:tcW w:w="2561" w:type="pct"/>
            <w:gridSpan w:val="3"/>
            <w:tcBorders>
              <w:top w:val="single" w:sz="4" w:space="0" w:color="auto"/>
              <w:left w:val="nil"/>
              <w:bottom w:val="single" w:sz="4" w:space="0" w:color="auto"/>
              <w:right w:val="single" w:sz="4" w:space="0" w:color="auto"/>
            </w:tcBorders>
            <w:shd w:val="clear" w:color="auto" w:fill="BFBFBF" w:themeFill="background1" w:themeFillShade="BF"/>
            <w:noWrap/>
            <w:hideMark/>
          </w:tcPr>
          <w:p w14:paraId="425ABDAA"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Result</w:t>
            </w:r>
          </w:p>
        </w:tc>
      </w:tr>
      <w:tr w:rsidR="00F051F3" w:rsidRPr="00F051F3" w14:paraId="425ABDB0" w14:textId="77777777" w:rsidTr="00DD7E5C">
        <w:trPr>
          <w:trHeight w:val="600"/>
          <w:tblHeader/>
        </w:trPr>
        <w:tc>
          <w:tcPr>
            <w:tcW w:w="243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ABDAC" w14:textId="77777777" w:rsidR="00F051F3" w:rsidRPr="00F051F3" w:rsidRDefault="00F051F3" w:rsidP="00A465D2">
            <w:pPr>
              <w:spacing w:before="120" w:after="120" w:line="240" w:lineRule="auto"/>
              <w:rPr>
                <w:rFonts w:ascii="Times New Roman" w:eastAsia="Times New Roman" w:hAnsi="Times New Roman" w:cs="Times New Roman"/>
                <w:b/>
                <w:bCs/>
                <w:color w:val="000000"/>
                <w:sz w:val="24"/>
                <w:szCs w:val="24"/>
              </w:rPr>
            </w:pPr>
          </w:p>
        </w:tc>
        <w:tc>
          <w:tcPr>
            <w:tcW w:w="709" w:type="pct"/>
            <w:tcBorders>
              <w:top w:val="nil"/>
              <w:left w:val="nil"/>
              <w:bottom w:val="single" w:sz="4" w:space="0" w:color="auto"/>
              <w:right w:val="single" w:sz="4" w:space="0" w:color="auto"/>
            </w:tcBorders>
            <w:shd w:val="clear" w:color="auto" w:fill="BFBFBF" w:themeFill="background1" w:themeFillShade="BF"/>
            <w:noWrap/>
            <w:hideMark/>
          </w:tcPr>
          <w:p w14:paraId="425ABDAD"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Total</w:t>
            </w:r>
          </w:p>
        </w:tc>
        <w:tc>
          <w:tcPr>
            <w:tcW w:w="894" w:type="pct"/>
            <w:tcBorders>
              <w:top w:val="nil"/>
              <w:left w:val="nil"/>
              <w:bottom w:val="single" w:sz="4" w:space="0" w:color="auto"/>
              <w:right w:val="single" w:sz="4" w:space="0" w:color="auto"/>
            </w:tcBorders>
            <w:shd w:val="clear" w:color="auto" w:fill="BFBFBF" w:themeFill="background1" w:themeFillShade="BF"/>
            <w:noWrap/>
            <w:hideMark/>
          </w:tcPr>
          <w:p w14:paraId="425ABDAE"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 of response</w:t>
            </w:r>
          </w:p>
        </w:tc>
        <w:tc>
          <w:tcPr>
            <w:tcW w:w="958" w:type="pct"/>
            <w:tcBorders>
              <w:top w:val="nil"/>
              <w:left w:val="nil"/>
              <w:bottom w:val="single" w:sz="4" w:space="0" w:color="auto"/>
              <w:right w:val="single" w:sz="4" w:space="0" w:color="auto"/>
            </w:tcBorders>
            <w:shd w:val="clear" w:color="auto" w:fill="BFBFBF" w:themeFill="background1" w:themeFillShade="BF"/>
            <w:hideMark/>
          </w:tcPr>
          <w:p w14:paraId="425ABDAF"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 of case (N=17)</w:t>
            </w:r>
          </w:p>
        </w:tc>
      </w:tr>
      <w:tr w:rsidR="00F051F3" w:rsidRPr="00F051F3" w14:paraId="425ABDB5"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B1" w14:textId="77777777" w:rsidR="00F051F3" w:rsidRPr="00F051F3" w:rsidRDefault="00F051F3" w:rsidP="00A465D2">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Corporations</w:t>
            </w:r>
          </w:p>
        </w:tc>
        <w:tc>
          <w:tcPr>
            <w:tcW w:w="709" w:type="pct"/>
            <w:tcBorders>
              <w:top w:val="nil"/>
              <w:left w:val="nil"/>
              <w:bottom w:val="single" w:sz="4" w:space="0" w:color="auto"/>
              <w:right w:val="single" w:sz="4" w:space="0" w:color="auto"/>
            </w:tcBorders>
            <w:shd w:val="clear" w:color="auto" w:fill="auto"/>
            <w:noWrap/>
            <w:vAlign w:val="bottom"/>
            <w:hideMark/>
          </w:tcPr>
          <w:p w14:paraId="425ABDB2"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16</w:t>
            </w:r>
          </w:p>
        </w:tc>
        <w:tc>
          <w:tcPr>
            <w:tcW w:w="894" w:type="pct"/>
            <w:tcBorders>
              <w:top w:val="nil"/>
              <w:left w:val="nil"/>
              <w:bottom w:val="single" w:sz="4" w:space="0" w:color="auto"/>
              <w:right w:val="single" w:sz="4" w:space="0" w:color="auto"/>
            </w:tcBorders>
            <w:shd w:val="clear" w:color="auto" w:fill="auto"/>
            <w:noWrap/>
            <w:vAlign w:val="bottom"/>
            <w:hideMark/>
          </w:tcPr>
          <w:p w14:paraId="425ABDB3"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38.10</w:t>
            </w:r>
          </w:p>
        </w:tc>
        <w:tc>
          <w:tcPr>
            <w:tcW w:w="958" w:type="pct"/>
            <w:tcBorders>
              <w:top w:val="nil"/>
              <w:left w:val="nil"/>
              <w:bottom w:val="single" w:sz="4" w:space="0" w:color="auto"/>
              <w:right w:val="single" w:sz="4" w:space="0" w:color="auto"/>
            </w:tcBorders>
            <w:shd w:val="clear" w:color="auto" w:fill="auto"/>
            <w:noWrap/>
            <w:vAlign w:val="bottom"/>
            <w:hideMark/>
          </w:tcPr>
          <w:p w14:paraId="425ABDB4"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94.12</w:t>
            </w:r>
          </w:p>
        </w:tc>
      </w:tr>
      <w:tr w:rsidR="00F051F3" w:rsidRPr="00F051F3" w14:paraId="425ABDBA"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B6" w14:textId="77777777" w:rsidR="00F051F3" w:rsidRPr="00F051F3" w:rsidRDefault="00F051F3" w:rsidP="00A465D2">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NGOs</w:t>
            </w:r>
          </w:p>
        </w:tc>
        <w:tc>
          <w:tcPr>
            <w:tcW w:w="709" w:type="pct"/>
            <w:tcBorders>
              <w:top w:val="nil"/>
              <w:left w:val="nil"/>
              <w:bottom w:val="single" w:sz="4" w:space="0" w:color="auto"/>
              <w:right w:val="single" w:sz="4" w:space="0" w:color="auto"/>
            </w:tcBorders>
            <w:shd w:val="clear" w:color="auto" w:fill="auto"/>
            <w:noWrap/>
            <w:vAlign w:val="bottom"/>
            <w:hideMark/>
          </w:tcPr>
          <w:p w14:paraId="425ABDB7"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12</w:t>
            </w:r>
          </w:p>
        </w:tc>
        <w:tc>
          <w:tcPr>
            <w:tcW w:w="894" w:type="pct"/>
            <w:tcBorders>
              <w:top w:val="nil"/>
              <w:left w:val="nil"/>
              <w:bottom w:val="single" w:sz="4" w:space="0" w:color="auto"/>
              <w:right w:val="single" w:sz="4" w:space="0" w:color="auto"/>
            </w:tcBorders>
            <w:shd w:val="clear" w:color="auto" w:fill="auto"/>
            <w:noWrap/>
            <w:vAlign w:val="bottom"/>
            <w:hideMark/>
          </w:tcPr>
          <w:p w14:paraId="425ABDB8"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28.57</w:t>
            </w:r>
          </w:p>
        </w:tc>
        <w:tc>
          <w:tcPr>
            <w:tcW w:w="958" w:type="pct"/>
            <w:tcBorders>
              <w:top w:val="nil"/>
              <w:left w:val="nil"/>
              <w:bottom w:val="single" w:sz="4" w:space="0" w:color="auto"/>
              <w:right w:val="single" w:sz="4" w:space="0" w:color="auto"/>
            </w:tcBorders>
            <w:shd w:val="clear" w:color="auto" w:fill="auto"/>
            <w:noWrap/>
            <w:vAlign w:val="bottom"/>
            <w:hideMark/>
          </w:tcPr>
          <w:p w14:paraId="425ABDB9"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70.59</w:t>
            </w:r>
          </w:p>
        </w:tc>
      </w:tr>
      <w:tr w:rsidR="00F051F3" w:rsidRPr="00F051F3" w14:paraId="425ABDBF"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BB" w14:textId="77777777" w:rsidR="00F051F3" w:rsidRPr="00F051F3" w:rsidRDefault="00F051F3" w:rsidP="00A465D2">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Chamber</w:t>
            </w:r>
            <w:r w:rsidR="00347D80">
              <w:rPr>
                <w:rFonts w:ascii="Times New Roman" w:eastAsia="Times New Roman" w:hAnsi="Times New Roman" w:cs="Times New Roman"/>
                <w:color w:val="000000"/>
                <w:sz w:val="24"/>
                <w:szCs w:val="24"/>
              </w:rPr>
              <w:t>s</w:t>
            </w:r>
            <w:r w:rsidRPr="00F051F3">
              <w:rPr>
                <w:rFonts w:ascii="Times New Roman" w:eastAsia="Times New Roman" w:hAnsi="Times New Roman" w:cs="Times New Roman"/>
                <w:color w:val="000000"/>
                <w:sz w:val="24"/>
                <w:szCs w:val="24"/>
              </w:rPr>
              <w:t xml:space="preserve"> of Commerce</w:t>
            </w:r>
          </w:p>
        </w:tc>
        <w:tc>
          <w:tcPr>
            <w:tcW w:w="709" w:type="pct"/>
            <w:tcBorders>
              <w:top w:val="nil"/>
              <w:left w:val="nil"/>
              <w:bottom w:val="single" w:sz="4" w:space="0" w:color="auto"/>
              <w:right w:val="single" w:sz="4" w:space="0" w:color="auto"/>
            </w:tcBorders>
            <w:shd w:val="clear" w:color="auto" w:fill="auto"/>
            <w:noWrap/>
            <w:vAlign w:val="bottom"/>
            <w:hideMark/>
          </w:tcPr>
          <w:p w14:paraId="425ABDBC"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8</w:t>
            </w:r>
          </w:p>
        </w:tc>
        <w:tc>
          <w:tcPr>
            <w:tcW w:w="894" w:type="pct"/>
            <w:tcBorders>
              <w:top w:val="nil"/>
              <w:left w:val="nil"/>
              <w:bottom w:val="single" w:sz="4" w:space="0" w:color="auto"/>
              <w:right w:val="single" w:sz="4" w:space="0" w:color="auto"/>
            </w:tcBorders>
            <w:shd w:val="clear" w:color="auto" w:fill="auto"/>
            <w:noWrap/>
            <w:vAlign w:val="bottom"/>
            <w:hideMark/>
          </w:tcPr>
          <w:p w14:paraId="425ABDBD"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19.05</w:t>
            </w:r>
          </w:p>
        </w:tc>
        <w:tc>
          <w:tcPr>
            <w:tcW w:w="958" w:type="pct"/>
            <w:tcBorders>
              <w:top w:val="nil"/>
              <w:left w:val="nil"/>
              <w:bottom w:val="single" w:sz="4" w:space="0" w:color="auto"/>
              <w:right w:val="single" w:sz="4" w:space="0" w:color="auto"/>
            </w:tcBorders>
            <w:shd w:val="clear" w:color="auto" w:fill="auto"/>
            <w:noWrap/>
            <w:vAlign w:val="bottom"/>
            <w:hideMark/>
          </w:tcPr>
          <w:p w14:paraId="425ABDBE"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47.06</w:t>
            </w:r>
          </w:p>
        </w:tc>
      </w:tr>
      <w:tr w:rsidR="00F051F3" w:rsidRPr="00F051F3" w14:paraId="425ABDC4"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C0" w14:textId="77777777" w:rsidR="00F051F3" w:rsidRPr="00F051F3" w:rsidRDefault="00F051F3" w:rsidP="00A465D2">
            <w:pPr>
              <w:spacing w:before="120" w:after="120" w:line="240" w:lineRule="auto"/>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lastRenderedPageBreak/>
              <w:t>Education Institute</w:t>
            </w:r>
            <w:r w:rsidR="00347D80">
              <w:rPr>
                <w:rFonts w:ascii="Times New Roman" w:eastAsia="Times New Roman" w:hAnsi="Times New Roman" w:cs="Times New Roman"/>
                <w:color w:val="000000"/>
                <w:sz w:val="24"/>
                <w:szCs w:val="24"/>
              </w:rPr>
              <w:t>s</w:t>
            </w:r>
          </w:p>
        </w:tc>
        <w:tc>
          <w:tcPr>
            <w:tcW w:w="709" w:type="pct"/>
            <w:tcBorders>
              <w:top w:val="nil"/>
              <w:left w:val="nil"/>
              <w:bottom w:val="single" w:sz="4" w:space="0" w:color="auto"/>
              <w:right w:val="single" w:sz="4" w:space="0" w:color="auto"/>
            </w:tcBorders>
            <w:shd w:val="clear" w:color="auto" w:fill="auto"/>
            <w:noWrap/>
            <w:vAlign w:val="bottom"/>
            <w:hideMark/>
          </w:tcPr>
          <w:p w14:paraId="425ABDC1"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6</w:t>
            </w:r>
          </w:p>
        </w:tc>
        <w:tc>
          <w:tcPr>
            <w:tcW w:w="894" w:type="pct"/>
            <w:tcBorders>
              <w:top w:val="nil"/>
              <w:left w:val="nil"/>
              <w:bottom w:val="single" w:sz="4" w:space="0" w:color="auto"/>
              <w:right w:val="single" w:sz="4" w:space="0" w:color="auto"/>
            </w:tcBorders>
            <w:shd w:val="clear" w:color="auto" w:fill="auto"/>
            <w:noWrap/>
            <w:vAlign w:val="bottom"/>
            <w:hideMark/>
          </w:tcPr>
          <w:p w14:paraId="425ABDC2"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14.29</w:t>
            </w:r>
          </w:p>
        </w:tc>
        <w:tc>
          <w:tcPr>
            <w:tcW w:w="958" w:type="pct"/>
            <w:tcBorders>
              <w:top w:val="nil"/>
              <w:left w:val="nil"/>
              <w:bottom w:val="single" w:sz="4" w:space="0" w:color="auto"/>
              <w:right w:val="single" w:sz="4" w:space="0" w:color="auto"/>
            </w:tcBorders>
            <w:shd w:val="clear" w:color="auto" w:fill="auto"/>
            <w:noWrap/>
            <w:vAlign w:val="bottom"/>
            <w:hideMark/>
          </w:tcPr>
          <w:p w14:paraId="425ABDC3" w14:textId="77777777" w:rsidR="00F051F3" w:rsidRPr="00F051F3" w:rsidRDefault="00F051F3" w:rsidP="00A465D2">
            <w:pPr>
              <w:spacing w:before="120" w:after="120" w:line="240" w:lineRule="auto"/>
              <w:jc w:val="right"/>
              <w:rPr>
                <w:rFonts w:ascii="Times New Roman" w:eastAsia="Times New Roman" w:hAnsi="Times New Roman" w:cs="Times New Roman"/>
                <w:color w:val="000000"/>
                <w:sz w:val="24"/>
                <w:szCs w:val="24"/>
              </w:rPr>
            </w:pPr>
            <w:r w:rsidRPr="00F051F3">
              <w:rPr>
                <w:rFonts w:ascii="Times New Roman" w:eastAsia="Times New Roman" w:hAnsi="Times New Roman" w:cs="Times New Roman"/>
                <w:color w:val="000000"/>
                <w:sz w:val="24"/>
                <w:szCs w:val="24"/>
              </w:rPr>
              <w:t>35.29</w:t>
            </w:r>
          </w:p>
        </w:tc>
      </w:tr>
      <w:tr w:rsidR="00F051F3" w:rsidRPr="00F051F3" w14:paraId="425ABDC9" w14:textId="77777777" w:rsidTr="00A465D2">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C5" w14:textId="77777777" w:rsidR="00F051F3" w:rsidRPr="00F051F3" w:rsidRDefault="00F051F3" w:rsidP="00A465D2">
            <w:pPr>
              <w:spacing w:before="120" w:after="120" w:line="240" w:lineRule="auto"/>
              <w:jc w:val="center"/>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Total</w:t>
            </w:r>
          </w:p>
        </w:tc>
        <w:tc>
          <w:tcPr>
            <w:tcW w:w="709" w:type="pct"/>
            <w:tcBorders>
              <w:top w:val="nil"/>
              <w:left w:val="nil"/>
              <w:bottom w:val="single" w:sz="4" w:space="0" w:color="auto"/>
              <w:right w:val="single" w:sz="4" w:space="0" w:color="auto"/>
            </w:tcBorders>
            <w:shd w:val="clear" w:color="auto" w:fill="auto"/>
            <w:noWrap/>
            <w:vAlign w:val="bottom"/>
            <w:hideMark/>
          </w:tcPr>
          <w:p w14:paraId="425ABDC6" w14:textId="77777777" w:rsidR="00F051F3" w:rsidRPr="00F051F3" w:rsidRDefault="00F051F3" w:rsidP="00A465D2">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42</w:t>
            </w:r>
          </w:p>
        </w:tc>
        <w:tc>
          <w:tcPr>
            <w:tcW w:w="894" w:type="pct"/>
            <w:tcBorders>
              <w:top w:val="nil"/>
              <w:left w:val="nil"/>
              <w:bottom w:val="single" w:sz="4" w:space="0" w:color="auto"/>
              <w:right w:val="single" w:sz="4" w:space="0" w:color="auto"/>
            </w:tcBorders>
            <w:shd w:val="clear" w:color="auto" w:fill="auto"/>
            <w:noWrap/>
            <w:vAlign w:val="bottom"/>
            <w:hideMark/>
          </w:tcPr>
          <w:p w14:paraId="425ABDC7" w14:textId="77777777" w:rsidR="00F051F3" w:rsidRPr="00F051F3" w:rsidRDefault="00F051F3" w:rsidP="00A465D2">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100.00</w:t>
            </w:r>
          </w:p>
        </w:tc>
        <w:tc>
          <w:tcPr>
            <w:tcW w:w="958" w:type="pct"/>
            <w:tcBorders>
              <w:top w:val="nil"/>
              <w:left w:val="nil"/>
              <w:bottom w:val="single" w:sz="4" w:space="0" w:color="auto"/>
              <w:right w:val="single" w:sz="4" w:space="0" w:color="auto"/>
            </w:tcBorders>
            <w:shd w:val="clear" w:color="auto" w:fill="auto"/>
            <w:noWrap/>
            <w:vAlign w:val="bottom"/>
            <w:hideMark/>
          </w:tcPr>
          <w:p w14:paraId="425ABDC8" w14:textId="77777777" w:rsidR="00F051F3" w:rsidRPr="00F051F3" w:rsidRDefault="00F051F3" w:rsidP="00A465D2">
            <w:pPr>
              <w:spacing w:before="120" w:after="120" w:line="240" w:lineRule="auto"/>
              <w:jc w:val="right"/>
              <w:rPr>
                <w:rFonts w:ascii="Times New Roman" w:eastAsia="Times New Roman" w:hAnsi="Times New Roman" w:cs="Times New Roman"/>
                <w:b/>
                <w:bCs/>
                <w:color w:val="000000"/>
                <w:sz w:val="24"/>
                <w:szCs w:val="24"/>
              </w:rPr>
            </w:pPr>
            <w:r w:rsidRPr="00F051F3">
              <w:rPr>
                <w:rFonts w:ascii="Times New Roman" w:eastAsia="Times New Roman" w:hAnsi="Times New Roman" w:cs="Times New Roman"/>
                <w:b/>
                <w:bCs/>
                <w:color w:val="000000"/>
                <w:sz w:val="24"/>
                <w:szCs w:val="24"/>
              </w:rPr>
              <w:t>247.06</w:t>
            </w:r>
          </w:p>
        </w:tc>
      </w:tr>
    </w:tbl>
    <w:p w14:paraId="425ABDCA" w14:textId="77777777" w:rsidR="008F4BCC" w:rsidRPr="00DD7E5C" w:rsidRDefault="00A465D2" w:rsidP="008F4BCC">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DCB" w14:textId="77777777" w:rsidR="00542289" w:rsidRDefault="00542289" w:rsidP="00542289">
      <w:pPr>
        <w:pStyle w:val="ListParagraph"/>
        <w:numPr>
          <w:ilvl w:val="0"/>
          <w:numId w:val="5"/>
        </w:numPr>
        <w:spacing w:before="240"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Financial Education Program</w:t>
      </w:r>
    </w:p>
    <w:p w14:paraId="425ABDCC" w14:textId="77777777" w:rsidR="00BC3A03" w:rsidRPr="00BC3A03" w:rsidRDefault="00BC3A03" w:rsidP="00BC3A0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The financial literacy program</w:t>
      </w:r>
      <w:r w:rsidR="00347D80">
        <w:rPr>
          <w:rFonts w:ascii="Times New Roman" w:hAnsi="Times New Roman" w:cs="Times New Roman"/>
          <w:sz w:val="24"/>
          <w:szCs w:val="24"/>
        </w:rPr>
        <w:t>s</w:t>
      </w:r>
      <w:r>
        <w:rPr>
          <w:rFonts w:ascii="Times New Roman" w:hAnsi="Times New Roman" w:cs="Times New Roman"/>
          <w:sz w:val="24"/>
          <w:szCs w:val="24"/>
        </w:rPr>
        <w:t xml:space="preserve"> for SMEs are mostly related to business planning</w:t>
      </w:r>
      <w:r w:rsidR="00347D80">
        <w:rPr>
          <w:rFonts w:ascii="Times New Roman" w:hAnsi="Times New Roman" w:cs="Times New Roman"/>
          <w:sz w:val="24"/>
          <w:szCs w:val="24"/>
        </w:rPr>
        <w:t>, which</w:t>
      </w:r>
      <w:r>
        <w:rPr>
          <w:rFonts w:ascii="Times New Roman" w:hAnsi="Times New Roman" w:cs="Times New Roman"/>
          <w:sz w:val="24"/>
          <w:szCs w:val="24"/>
        </w:rPr>
        <w:t xml:space="preserve"> accounts for 17.46%</w:t>
      </w:r>
      <w:r w:rsidR="00347D80">
        <w:rPr>
          <w:rFonts w:ascii="Times New Roman" w:hAnsi="Times New Roman" w:cs="Times New Roman"/>
          <w:sz w:val="24"/>
          <w:szCs w:val="24"/>
        </w:rPr>
        <w:t>.</w:t>
      </w:r>
      <w:r>
        <w:rPr>
          <w:rFonts w:ascii="Times New Roman" w:hAnsi="Times New Roman" w:cs="Times New Roman"/>
          <w:sz w:val="24"/>
          <w:szCs w:val="24"/>
        </w:rPr>
        <w:t xml:space="preserve"> </w:t>
      </w:r>
      <w:r w:rsidR="00347D80">
        <w:rPr>
          <w:rFonts w:ascii="Times New Roman" w:hAnsi="Times New Roman" w:cs="Times New Roman"/>
          <w:sz w:val="24"/>
          <w:szCs w:val="24"/>
        </w:rPr>
        <w:t>Access</w:t>
      </w:r>
      <w:r>
        <w:rPr>
          <w:rFonts w:ascii="Times New Roman" w:hAnsi="Times New Roman" w:cs="Times New Roman"/>
          <w:sz w:val="24"/>
          <w:szCs w:val="24"/>
        </w:rPr>
        <w:t xml:space="preserve"> to finance and start-up capital</w:t>
      </w:r>
      <w:r w:rsidR="00347D80">
        <w:rPr>
          <w:rFonts w:ascii="Times New Roman" w:hAnsi="Times New Roman" w:cs="Times New Roman"/>
          <w:sz w:val="24"/>
          <w:szCs w:val="24"/>
        </w:rPr>
        <w:t xml:space="preserve"> accounts for</w:t>
      </w:r>
      <w:r>
        <w:rPr>
          <w:rFonts w:ascii="Times New Roman" w:hAnsi="Times New Roman" w:cs="Times New Roman"/>
          <w:sz w:val="24"/>
          <w:szCs w:val="24"/>
        </w:rPr>
        <w:t xml:space="preserve"> 14.29</w:t>
      </w:r>
      <w:r w:rsidR="00347D80">
        <w:rPr>
          <w:rFonts w:ascii="Times New Roman" w:hAnsi="Times New Roman" w:cs="Times New Roman"/>
          <w:sz w:val="24"/>
          <w:szCs w:val="24"/>
        </w:rPr>
        <w:t>%, while both a</w:t>
      </w:r>
      <w:r>
        <w:rPr>
          <w:rFonts w:ascii="Times New Roman" w:hAnsi="Times New Roman" w:cs="Times New Roman"/>
          <w:sz w:val="24"/>
          <w:szCs w:val="24"/>
        </w:rPr>
        <w:t>ccounting and finance and risk management account for 12.70%.</w:t>
      </w:r>
    </w:p>
    <w:p w14:paraId="425ABDCD" w14:textId="77777777" w:rsidR="00BC3A03" w:rsidRPr="00BC3A03" w:rsidRDefault="00BC3A03" w:rsidP="00BC3A03">
      <w:pPr>
        <w:pStyle w:val="Caption"/>
        <w:keepNext/>
        <w:rPr>
          <w:rFonts w:ascii="Times New Roman" w:hAnsi="Times New Roman" w:cs="Times New Roman"/>
          <w:b/>
          <w:bCs/>
          <w:i w:val="0"/>
          <w:iCs w:val="0"/>
          <w:color w:val="000000" w:themeColor="text1"/>
          <w:sz w:val="24"/>
          <w:szCs w:val="24"/>
        </w:rPr>
      </w:pPr>
      <w:r w:rsidRPr="00BC3A03">
        <w:rPr>
          <w:rFonts w:ascii="Times New Roman" w:hAnsi="Times New Roman" w:cs="Times New Roman"/>
          <w:b/>
          <w:bCs/>
          <w:i w:val="0"/>
          <w:iCs w:val="0"/>
          <w:color w:val="000000" w:themeColor="text1"/>
          <w:sz w:val="24"/>
          <w:szCs w:val="24"/>
        </w:rPr>
        <w:t xml:space="preserve">Table </w:t>
      </w:r>
      <w:r w:rsidRPr="00BC3A03">
        <w:rPr>
          <w:rFonts w:ascii="Times New Roman" w:hAnsi="Times New Roman" w:cs="Times New Roman"/>
          <w:b/>
          <w:bCs/>
          <w:i w:val="0"/>
          <w:iCs w:val="0"/>
          <w:color w:val="000000" w:themeColor="text1"/>
          <w:sz w:val="24"/>
          <w:szCs w:val="24"/>
        </w:rPr>
        <w:fldChar w:fldCharType="begin"/>
      </w:r>
      <w:r w:rsidRPr="00BC3A03">
        <w:rPr>
          <w:rFonts w:ascii="Times New Roman" w:hAnsi="Times New Roman" w:cs="Times New Roman"/>
          <w:b/>
          <w:bCs/>
          <w:i w:val="0"/>
          <w:iCs w:val="0"/>
          <w:color w:val="000000" w:themeColor="text1"/>
          <w:sz w:val="24"/>
          <w:szCs w:val="24"/>
        </w:rPr>
        <w:instrText xml:space="preserve"> SEQ Table \* ARABIC </w:instrText>
      </w:r>
      <w:r w:rsidRPr="00BC3A03">
        <w:rPr>
          <w:rFonts w:ascii="Times New Roman" w:hAnsi="Times New Roman" w:cs="Times New Roman"/>
          <w:b/>
          <w:bCs/>
          <w:i w:val="0"/>
          <w:iCs w:val="0"/>
          <w:color w:val="000000" w:themeColor="text1"/>
          <w:sz w:val="24"/>
          <w:szCs w:val="24"/>
        </w:rPr>
        <w:fldChar w:fldCharType="separate"/>
      </w:r>
      <w:r w:rsidR="00BF12A8">
        <w:rPr>
          <w:rFonts w:ascii="Times New Roman" w:hAnsi="Times New Roman" w:cs="Times New Roman"/>
          <w:b/>
          <w:bCs/>
          <w:i w:val="0"/>
          <w:iCs w:val="0"/>
          <w:noProof/>
          <w:color w:val="000000" w:themeColor="text1"/>
          <w:sz w:val="24"/>
          <w:szCs w:val="24"/>
        </w:rPr>
        <w:t>5</w:t>
      </w:r>
      <w:r w:rsidRPr="00BC3A03">
        <w:rPr>
          <w:rFonts w:ascii="Times New Roman" w:hAnsi="Times New Roman" w:cs="Times New Roman"/>
          <w:b/>
          <w:bCs/>
          <w:i w:val="0"/>
          <w:iCs w:val="0"/>
          <w:color w:val="000000" w:themeColor="text1"/>
          <w:sz w:val="24"/>
          <w:szCs w:val="24"/>
        </w:rPr>
        <w:fldChar w:fldCharType="end"/>
      </w:r>
      <w:r w:rsidRPr="00BC3A03">
        <w:rPr>
          <w:rFonts w:ascii="Times New Roman" w:hAnsi="Times New Roman" w:cs="Times New Roman"/>
          <w:b/>
          <w:bCs/>
          <w:i w:val="0"/>
          <w:iCs w:val="0"/>
          <w:color w:val="000000" w:themeColor="text1"/>
          <w:sz w:val="24"/>
          <w:szCs w:val="24"/>
        </w:rPr>
        <w:t xml:space="preserve"> SMEs Financial Literacy</w:t>
      </w:r>
    </w:p>
    <w:tbl>
      <w:tblPr>
        <w:tblW w:w="5000" w:type="pct"/>
        <w:tblLook w:val="04A0" w:firstRow="1" w:lastRow="0" w:firstColumn="1" w:lastColumn="0" w:noHBand="0" w:noVBand="1"/>
      </w:tblPr>
      <w:tblGrid>
        <w:gridCol w:w="4671"/>
        <w:gridCol w:w="1377"/>
        <w:gridCol w:w="1695"/>
        <w:gridCol w:w="1833"/>
      </w:tblGrid>
      <w:tr w:rsidR="00DD7E5C" w:rsidRPr="00DD7E5C" w14:paraId="425ABDD0" w14:textId="77777777" w:rsidTr="00BC3A03">
        <w:trPr>
          <w:trHeight w:val="300"/>
          <w:tblHeader/>
        </w:trPr>
        <w:tc>
          <w:tcPr>
            <w:tcW w:w="24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5ABDCE"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Course</w:t>
            </w:r>
          </w:p>
        </w:tc>
        <w:tc>
          <w:tcPr>
            <w:tcW w:w="2561" w:type="pct"/>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425ABDCF"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Result</w:t>
            </w:r>
          </w:p>
        </w:tc>
      </w:tr>
      <w:tr w:rsidR="00DD7E5C" w:rsidRPr="00DD7E5C" w14:paraId="425ABDD5" w14:textId="77777777" w:rsidTr="00BC3A03">
        <w:trPr>
          <w:trHeight w:val="600"/>
          <w:tblHeader/>
        </w:trPr>
        <w:tc>
          <w:tcPr>
            <w:tcW w:w="243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ABDD1" w14:textId="77777777" w:rsidR="00DD7E5C" w:rsidRPr="00DD7E5C" w:rsidRDefault="00DD7E5C" w:rsidP="00BC3A03">
            <w:pPr>
              <w:spacing w:before="120" w:after="120" w:line="240" w:lineRule="auto"/>
              <w:rPr>
                <w:rFonts w:ascii="Times New Roman" w:eastAsia="Times New Roman" w:hAnsi="Times New Roman" w:cs="Times New Roman"/>
                <w:b/>
                <w:bCs/>
                <w:color w:val="000000"/>
                <w:sz w:val="24"/>
                <w:szCs w:val="24"/>
              </w:rPr>
            </w:pPr>
          </w:p>
        </w:tc>
        <w:tc>
          <w:tcPr>
            <w:tcW w:w="719" w:type="pct"/>
            <w:tcBorders>
              <w:top w:val="nil"/>
              <w:left w:val="nil"/>
              <w:bottom w:val="single" w:sz="4" w:space="0" w:color="auto"/>
              <w:right w:val="single" w:sz="4" w:space="0" w:color="auto"/>
            </w:tcBorders>
            <w:shd w:val="clear" w:color="auto" w:fill="D9D9D9" w:themeFill="background1" w:themeFillShade="D9"/>
            <w:noWrap/>
            <w:hideMark/>
          </w:tcPr>
          <w:p w14:paraId="425ABDD2"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Total</w:t>
            </w:r>
          </w:p>
        </w:tc>
        <w:tc>
          <w:tcPr>
            <w:tcW w:w="885" w:type="pct"/>
            <w:tcBorders>
              <w:top w:val="nil"/>
              <w:left w:val="nil"/>
              <w:bottom w:val="single" w:sz="4" w:space="0" w:color="auto"/>
              <w:right w:val="single" w:sz="4" w:space="0" w:color="auto"/>
            </w:tcBorders>
            <w:shd w:val="clear" w:color="auto" w:fill="D9D9D9" w:themeFill="background1" w:themeFillShade="D9"/>
            <w:noWrap/>
            <w:hideMark/>
          </w:tcPr>
          <w:p w14:paraId="425ABDD3"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 of response</w:t>
            </w:r>
          </w:p>
        </w:tc>
        <w:tc>
          <w:tcPr>
            <w:tcW w:w="957" w:type="pct"/>
            <w:tcBorders>
              <w:top w:val="nil"/>
              <w:left w:val="nil"/>
              <w:bottom w:val="single" w:sz="4" w:space="0" w:color="auto"/>
              <w:right w:val="single" w:sz="4" w:space="0" w:color="auto"/>
            </w:tcBorders>
            <w:shd w:val="clear" w:color="auto" w:fill="D9D9D9" w:themeFill="background1" w:themeFillShade="D9"/>
            <w:hideMark/>
          </w:tcPr>
          <w:p w14:paraId="425ABDD4"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 of case (N=17)</w:t>
            </w:r>
          </w:p>
        </w:tc>
      </w:tr>
      <w:tr w:rsidR="00DD7E5C" w:rsidRPr="00DD7E5C" w14:paraId="425ABDDA"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D6"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Accounting and finance</w:t>
            </w:r>
          </w:p>
        </w:tc>
        <w:tc>
          <w:tcPr>
            <w:tcW w:w="719" w:type="pct"/>
            <w:tcBorders>
              <w:top w:val="nil"/>
              <w:left w:val="nil"/>
              <w:bottom w:val="single" w:sz="4" w:space="0" w:color="auto"/>
              <w:right w:val="single" w:sz="4" w:space="0" w:color="auto"/>
            </w:tcBorders>
            <w:shd w:val="clear" w:color="auto" w:fill="auto"/>
            <w:noWrap/>
            <w:vAlign w:val="bottom"/>
            <w:hideMark/>
          </w:tcPr>
          <w:p w14:paraId="425ABDD7"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8</w:t>
            </w:r>
          </w:p>
        </w:tc>
        <w:tc>
          <w:tcPr>
            <w:tcW w:w="885" w:type="pct"/>
            <w:tcBorders>
              <w:top w:val="nil"/>
              <w:left w:val="nil"/>
              <w:bottom w:val="single" w:sz="4" w:space="0" w:color="auto"/>
              <w:right w:val="single" w:sz="4" w:space="0" w:color="auto"/>
            </w:tcBorders>
            <w:shd w:val="clear" w:color="auto" w:fill="auto"/>
            <w:noWrap/>
            <w:vAlign w:val="bottom"/>
            <w:hideMark/>
          </w:tcPr>
          <w:p w14:paraId="425ABDD8"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12.70</w:t>
            </w:r>
          </w:p>
        </w:tc>
        <w:tc>
          <w:tcPr>
            <w:tcW w:w="957" w:type="pct"/>
            <w:tcBorders>
              <w:top w:val="nil"/>
              <w:left w:val="nil"/>
              <w:bottom w:val="single" w:sz="4" w:space="0" w:color="auto"/>
              <w:right w:val="single" w:sz="4" w:space="0" w:color="auto"/>
            </w:tcBorders>
            <w:shd w:val="clear" w:color="auto" w:fill="auto"/>
            <w:noWrap/>
            <w:vAlign w:val="bottom"/>
            <w:hideMark/>
          </w:tcPr>
          <w:p w14:paraId="425ABDD9"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47.06</w:t>
            </w:r>
          </w:p>
        </w:tc>
      </w:tr>
      <w:tr w:rsidR="00DD7E5C" w:rsidRPr="00DD7E5C" w14:paraId="425ABDDF"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DB"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Business planning</w:t>
            </w:r>
          </w:p>
        </w:tc>
        <w:tc>
          <w:tcPr>
            <w:tcW w:w="719" w:type="pct"/>
            <w:tcBorders>
              <w:top w:val="nil"/>
              <w:left w:val="nil"/>
              <w:bottom w:val="single" w:sz="4" w:space="0" w:color="auto"/>
              <w:right w:val="single" w:sz="4" w:space="0" w:color="auto"/>
            </w:tcBorders>
            <w:shd w:val="clear" w:color="auto" w:fill="auto"/>
            <w:noWrap/>
            <w:vAlign w:val="bottom"/>
            <w:hideMark/>
          </w:tcPr>
          <w:p w14:paraId="425ABDDC"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11</w:t>
            </w:r>
          </w:p>
        </w:tc>
        <w:tc>
          <w:tcPr>
            <w:tcW w:w="885" w:type="pct"/>
            <w:tcBorders>
              <w:top w:val="nil"/>
              <w:left w:val="nil"/>
              <w:bottom w:val="single" w:sz="4" w:space="0" w:color="auto"/>
              <w:right w:val="single" w:sz="4" w:space="0" w:color="auto"/>
            </w:tcBorders>
            <w:shd w:val="clear" w:color="auto" w:fill="auto"/>
            <w:noWrap/>
            <w:vAlign w:val="bottom"/>
            <w:hideMark/>
          </w:tcPr>
          <w:p w14:paraId="425ABDDD"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17.46</w:t>
            </w:r>
          </w:p>
        </w:tc>
        <w:tc>
          <w:tcPr>
            <w:tcW w:w="957" w:type="pct"/>
            <w:tcBorders>
              <w:top w:val="nil"/>
              <w:left w:val="nil"/>
              <w:bottom w:val="single" w:sz="4" w:space="0" w:color="auto"/>
              <w:right w:val="single" w:sz="4" w:space="0" w:color="auto"/>
            </w:tcBorders>
            <w:shd w:val="clear" w:color="auto" w:fill="auto"/>
            <w:noWrap/>
            <w:vAlign w:val="bottom"/>
            <w:hideMark/>
          </w:tcPr>
          <w:p w14:paraId="425ABDDE"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64.71</w:t>
            </w:r>
          </w:p>
        </w:tc>
      </w:tr>
      <w:tr w:rsidR="00DD7E5C" w:rsidRPr="00DD7E5C" w14:paraId="425ABDE4"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E0"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Exporting</w:t>
            </w:r>
          </w:p>
        </w:tc>
        <w:tc>
          <w:tcPr>
            <w:tcW w:w="719" w:type="pct"/>
            <w:tcBorders>
              <w:top w:val="nil"/>
              <w:left w:val="nil"/>
              <w:bottom w:val="single" w:sz="4" w:space="0" w:color="auto"/>
              <w:right w:val="single" w:sz="4" w:space="0" w:color="auto"/>
            </w:tcBorders>
            <w:shd w:val="clear" w:color="auto" w:fill="auto"/>
            <w:noWrap/>
            <w:vAlign w:val="bottom"/>
            <w:hideMark/>
          </w:tcPr>
          <w:p w14:paraId="425ABDE1"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5</w:t>
            </w:r>
          </w:p>
        </w:tc>
        <w:tc>
          <w:tcPr>
            <w:tcW w:w="885" w:type="pct"/>
            <w:tcBorders>
              <w:top w:val="nil"/>
              <w:left w:val="nil"/>
              <w:bottom w:val="single" w:sz="4" w:space="0" w:color="auto"/>
              <w:right w:val="single" w:sz="4" w:space="0" w:color="auto"/>
            </w:tcBorders>
            <w:shd w:val="clear" w:color="auto" w:fill="auto"/>
            <w:noWrap/>
            <w:vAlign w:val="bottom"/>
            <w:hideMark/>
          </w:tcPr>
          <w:p w14:paraId="425ABDE2"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7.94</w:t>
            </w:r>
          </w:p>
        </w:tc>
        <w:tc>
          <w:tcPr>
            <w:tcW w:w="957" w:type="pct"/>
            <w:tcBorders>
              <w:top w:val="nil"/>
              <w:left w:val="nil"/>
              <w:bottom w:val="single" w:sz="4" w:space="0" w:color="auto"/>
              <w:right w:val="single" w:sz="4" w:space="0" w:color="auto"/>
            </w:tcBorders>
            <w:shd w:val="clear" w:color="auto" w:fill="auto"/>
            <w:noWrap/>
            <w:vAlign w:val="bottom"/>
            <w:hideMark/>
          </w:tcPr>
          <w:p w14:paraId="425ABDE3"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29.41</w:t>
            </w:r>
          </w:p>
        </w:tc>
      </w:tr>
      <w:tr w:rsidR="00DD7E5C" w:rsidRPr="00DD7E5C" w14:paraId="425ABDE9"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E5"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Credit products</w:t>
            </w:r>
          </w:p>
        </w:tc>
        <w:tc>
          <w:tcPr>
            <w:tcW w:w="719" w:type="pct"/>
            <w:tcBorders>
              <w:top w:val="nil"/>
              <w:left w:val="nil"/>
              <w:bottom w:val="single" w:sz="4" w:space="0" w:color="auto"/>
              <w:right w:val="single" w:sz="4" w:space="0" w:color="auto"/>
            </w:tcBorders>
            <w:shd w:val="clear" w:color="auto" w:fill="auto"/>
            <w:noWrap/>
            <w:vAlign w:val="bottom"/>
            <w:hideMark/>
          </w:tcPr>
          <w:p w14:paraId="425ABDE6"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7</w:t>
            </w:r>
          </w:p>
        </w:tc>
        <w:tc>
          <w:tcPr>
            <w:tcW w:w="885" w:type="pct"/>
            <w:tcBorders>
              <w:top w:val="nil"/>
              <w:left w:val="nil"/>
              <w:bottom w:val="single" w:sz="4" w:space="0" w:color="auto"/>
              <w:right w:val="single" w:sz="4" w:space="0" w:color="auto"/>
            </w:tcBorders>
            <w:shd w:val="clear" w:color="auto" w:fill="auto"/>
            <w:noWrap/>
            <w:vAlign w:val="bottom"/>
            <w:hideMark/>
          </w:tcPr>
          <w:p w14:paraId="425ABDE7"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11.11</w:t>
            </w:r>
          </w:p>
        </w:tc>
        <w:tc>
          <w:tcPr>
            <w:tcW w:w="957" w:type="pct"/>
            <w:tcBorders>
              <w:top w:val="nil"/>
              <w:left w:val="nil"/>
              <w:bottom w:val="single" w:sz="4" w:space="0" w:color="auto"/>
              <w:right w:val="single" w:sz="4" w:space="0" w:color="auto"/>
            </w:tcBorders>
            <w:shd w:val="clear" w:color="auto" w:fill="auto"/>
            <w:noWrap/>
            <w:vAlign w:val="bottom"/>
            <w:hideMark/>
          </w:tcPr>
          <w:p w14:paraId="425ABDE8"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41.18</w:t>
            </w:r>
          </w:p>
        </w:tc>
      </w:tr>
      <w:tr w:rsidR="00DD7E5C" w:rsidRPr="00DD7E5C" w14:paraId="425ABDEE"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EA"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Access to finance and start-up capital</w:t>
            </w:r>
          </w:p>
        </w:tc>
        <w:tc>
          <w:tcPr>
            <w:tcW w:w="719" w:type="pct"/>
            <w:tcBorders>
              <w:top w:val="nil"/>
              <w:left w:val="nil"/>
              <w:bottom w:val="single" w:sz="4" w:space="0" w:color="auto"/>
              <w:right w:val="single" w:sz="4" w:space="0" w:color="auto"/>
            </w:tcBorders>
            <w:shd w:val="clear" w:color="auto" w:fill="auto"/>
            <w:noWrap/>
            <w:vAlign w:val="bottom"/>
            <w:hideMark/>
          </w:tcPr>
          <w:p w14:paraId="425ABDEB"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9</w:t>
            </w:r>
          </w:p>
        </w:tc>
        <w:tc>
          <w:tcPr>
            <w:tcW w:w="885" w:type="pct"/>
            <w:tcBorders>
              <w:top w:val="nil"/>
              <w:left w:val="nil"/>
              <w:bottom w:val="single" w:sz="4" w:space="0" w:color="auto"/>
              <w:right w:val="single" w:sz="4" w:space="0" w:color="auto"/>
            </w:tcBorders>
            <w:shd w:val="clear" w:color="auto" w:fill="auto"/>
            <w:noWrap/>
            <w:vAlign w:val="bottom"/>
            <w:hideMark/>
          </w:tcPr>
          <w:p w14:paraId="425ABDEC"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14.29</w:t>
            </w:r>
          </w:p>
        </w:tc>
        <w:tc>
          <w:tcPr>
            <w:tcW w:w="957" w:type="pct"/>
            <w:tcBorders>
              <w:top w:val="nil"/>
              <w:left w:val="nil"/>
              <w:bottom w:val="single" w:sz="4" w:space="0" w:color="auto"/>
              <w:right w:val="single" w:sz="4" w:space="0" w:color="auto"/>
            </w:tcBorders>
            <w:shd w:val="clear" w:color="auto" w:fill="auto"/>
            <w:noWrap/>
            <w:vAlign w:val="bottom"/>
            <w:hideMark/>
          </w:tcPr>
          <w:p w14:paraId="425ABDED"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52.94</w:t>
            </w:r>
          </w:p>
        </w:tc>
      </w:tr>
      <w:tr w:rsidR="00DD7E5C" w:rsidRPr="00DD7E5C" w14:paraId="425ABDF3"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EF"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 xml:space="preserve">Saving options for business </w:t>
            </w:r>
          </w:p>
        </w:tc>
        <w:tc>
          <w:tcPr>
            <w:tcW w:w="719" w:type="pct"/>
            <w:tcBorders>
              <w:top w:val="nil"/>
              <w:left w:val="nil"/>
              <w:bottom w:val="single" w:sz="4" w:space="0" w:color="auto"/>
              <w:right w:val="single" w:sz="4" w:space="0" w:color="auto"/>
            </w:tcBorders>
            <w:shd w:val="clear" w:color="auto" w:fill="auto"/>
            <w:noWrap/>
            <w:vAlign w:val="bottom"/>
            <w:hideMark/>
          </w:tcPr>
          <w:p w14:paraId="425ABDF0"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5</w:t>
            </w:r>
          </w:p>
        </w:tc>
        <w:tc>
          <w:tcPr>
            <w:tcW w:w="885" w:type="pct"/>
            <w:tcBorders>
              <w:top w:val="nil"/>
              <w:left w:val="nil"/>
              <w:bottom w:val="single" w:sz="4" w:space="0" w:color="auto"/>
              <w:right w:val="single" w:sz="4" w:space="0" w:color="auto"/>
            </w:tcBorders>
            <w:shd w:val="clear" w:color="auto" w:fill="auto"/>
            <w:noWrap/>
            <w:vAlign w:val="bottom"/>
            <w:hideMark/>
          </w:tcPr>
          <w:p w14:paraId="425ABDF1"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7.94</w:t>
            </w:r>
          </w:p>
        </w:tc>
        <w:tc>
          <w:tcPr>
            <w:tcW w:w="957" w:type="pct"/>
            <w:tcBorders>
              <w:top w:val="nil"/>
              <w:left w:val="nil"/>
              <w:bottom w:val="single" w:sz="4" w:space="0" w:color="auto"/>
              <w:right w:val="single" w:sz="4" w:space="0" w:color="auto"/>
            </w:tcBorders>
            <w:shd w:val="clear" w:color="auto" w:fill="auto"/>
            <w:noWrap/>
            <w:vAlign w:val="bottom"/>
            <w:hideMark/>
          </w:tcPr>
          <w:p w14:paraId="425ABDF2"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29.41</w:t>
            </w:r>
          </w:p>
        </w:tc>
      </w:tr>
      <w:tr w:rsidR="00DD7E5C" w:rsidRPr="00DD7E5C" w14:paraId="425ABDF8"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F4"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Transactional products</w:t>
            </w:r>
          </w:p>
        </w:tc>
        <w:tc>
          <w:tcPr>
            <w:tcW w:w="719" w:type="pct"/>
            <w:tcBorders>
              <w:top w:val="nil"/>
              <w:left w:val="nil"/>
              <w:bottom w:val="single" w:sz="4" w:space="0" w:color="auto"/>
              <w:right w:val="single" w:sz="4" w:space="0" w:color="auto"/>
            </w:tcBorders>
            <w:shd w:val="clear" w:color="auto" w:fill="auto"/>
            <w:noWrap/>
            <w:vAlign w:val="bottom"/>
            <w:hideMark/>
          </w:tcPr>
          <w:p w14:paraId="425ABDF5"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4</w:t>
            </w:r>
          </w:p>
        </w:tc>
        <w:tc>
          <w:tcPr>
            <w:tcW w:w="885" w:type="pct"/>
            <w:tcBorders>
              <w:top w:val="nil"/>
              <w:left w:val="nil"/>
              <w:bottom w:val="single" w:sz="4" w:space="0" w:color="auto"/>
              <w:right w:val="single" w:sz="4" w:space="0" w:color="auto"/>
            </w:tcBorders>
            <w:shd w:val="clear" w:color="auto" w:fill="auto"/>
            <w:noWrap/>
            <w:vAlign w:val="bottom"/>
            <w:hideMark/>
          </w:tcPr>
          <w:p w14:paraId="425ABDF6"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6.35</w:t>
            </w:r>
          </w:p>
        </w:tc>
        <w:tc>
          <w:tcPr>
            <w:tcW w:w="957" w:type="pct"/>
            <w:tcBorders>
              <w:top w:val="nil"/>
              <w:left w:val="nil"/>
              <w:bottom w:val="single" w:sz="4" w:space="0" w:color="auto"/>
              <w:right w:val="single" w:sz="4" w:space="0" w:color="auto"/>
            </w:tcBorders>
            <w:shd w:val="clear" w:color="auto" w:fill="auto"/>
            <w:noWrap/>
            <w:vAlign w:val="bottom"/>
            <w:hideMark/>
          </w:tcPr>
          <w:p w14:paraId="425ABDF7"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23.53</w:t>
            </w:r>
          </w:p>
        </w:tc>
      </w:tr>
      <w:tr w:rsidR="00DD7E5C" w:rsidRPr="00DD7E5C" w14:paraId="425ABDFD"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F9"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Risk management, including insurance</w:t>
            </w:r>
          </w:p>
        </w:tc>
        <w:tc>
          <w:tcPr>
            <w:tcW w:w="719" w:type="pct"/>
            <w:tcBorders>
              <w:top w:val="nil"/>
              <w:left w:val="nil"/>
              <w:bottom w:val="single" w:sz="4" w:space="0" w:color="auto"/>
              <w:right w:val="single" w:sz="4" w:space="0" w:color="auto"/>
            </w:tcBorders>
            <w:shd w:val="clear" w:color="auto" w:fill="auto"/>
            <w:noWrap/>
            <w:vAlign w:val="bottom"/>
            <w:hideMark/>
          </w:tcPr>
          <w:p w14:paraId="425ABDFA"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8</w:t>
            </w:r>
          </w:p>
        </w:tc>
        <w:tc>
          <w:tcPr>
            <w:tcW w:w="885" w:type="pct"/>
            <w:tcBorders>
              <w:top w:val="nil"/>
              <w:left w:val="nil"/>
              <w:bottom w:val="single" w:sz="4" w:space="0" w:color="auto"/>
              <w:right w:val="single" w:sz="4" w:space="0" w:color="auto"/>
            </w:tcBorders>
            <w:shd w:val="clear" w:color="auto" w:fill="auto"/>
            <w:noWrap/>
            <w:vAlign w:val="bottom"/>
            <w:hideMark/>
          </w:tcPr>
          <w:p w14:paraId="425ABDFB"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12.70</w:t>
            </w:r>
          </w:p>
        </w:tc>
        <w:tc>
          <w:tcPr>
            <w:tcW w:w="957" w:type="pct"/>
            <w:tcBorders>
              <w:top w:val="nil"/>
              <w:left w:val="nil"/>
              <w:bottom w:val="single" w:sz="4" w:space="0" w:color="auto"/>
              <w:right w:val="single" w:sz="4" w:space="0" w:color="auto"/>
            </w:tcBorders>
            <w:shd w:val="clear" w:color="auto" w:fill="auto"/>
            <w:noWrap/>
            <w:vAlign w:val="bottom"/>
            <w:hideMark/>
          </w:tcPr>
          <w:p w14:paraId="425ABDFC"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47.06</w:t>
            </w:r>
          </w:p>
        </w:tc>
      </w:tr>
      <w:tr w:rsidR="00DD7E5C" w:rsidRPr="00DD7E5C" w14:paraId="425ABE02"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DFE" w14:textId="77777777" w:rsidR="00DD7E5C" w:rsidRPr="00DD7E5C" w:rsidRDefault="00DD7E5C" w:rsidP="00BC3A03">
            <w:pPr>
              <w:spacing w:before="120" w:after="120" w:line="240" w:lineRule="auto"/>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Formalizing a business</w:t>
            </w:r>
          </w:p>
        </w:tc>
        <w:tc>
          <w:tcPr>
            <w:tcW w:w="719" w:type="pct"/>
            <w:tcBorders>
              <w:top w:val="nil"/>
              <w:left w:val="nil"/>
              <w:bottom w:val="single" w:sz="4" w:space="0" w:color="auto"/>
              <w:right w:val="single" w:sz="4" w:space="0" w:color="auto"/>
            </w:tcBorders>
            <w:shd w:val="clear" w:color="auto" w:fill="auto"/>
            <w:noWrap/>
            <w:vAlign w:val="bottom"/>
            <w:hideMark/>
          </w:tcPr>
          <w:p w14:paraId="425ABDFF"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6</w:t>
            </w:r>
          </w:p>
        </w:tc>
        <w:tc>
          <w:tcPr>
            <w:tcW w:w="885" w:type="pct"/>
            <w:tcBorders>
              <w:top w:val="nil"/>
              <w:left w:val="nil"/>
              <w:bottom w:val="single" w:sz="4" w:space="0" w:color="auto"/>
              <w:right w:val="single" w:sz="4" w:space="0" w:color="auto"/>
            </w:tcBorders>
            <w:shd w:val="clear" w:color="auto" w:fill="auto"/>
            <w:noWrap/>
            <w:vAlign w:val="bottom"/>
            <w:hideMark/>
          </w:tcPr>
          <w:p w14:paraId="425ABE00"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9.52</w:t>
            </w:r>
          </w:p>
        </w:tc>
        <w:tc>
          <w:tcPr>
            <w:tcW w:w="957" w:type="pct"/>
            <w:tcBorders>
              <w:top w:val="nil"/>
              <w:left w:val="nil"/>
              <w:bottom w:val="single" w:sz="4" w:space="0" w:color="auto"/>
              <w:right w:val="single" w:sz="4" w:space="0" w:color="auto"/>
            </w:tcBorders>
            <w:shd w:val="clear" w:color="auto" w:fill="auto"/>
            <w:noWrap/>
            <w:vAlign w:val="bottom"/>
            <w:hideMark/>
          </w:tcPr>
          <w:p w14:paraId="425ABE01" w14:textId="77777777" w:rsidR="00DD7E5C" w:rsidRPr="00DD7E5C" w:rsidRDefault="00DD7E5C" w:rsidP="00BC3A03">
            <w:pPr>
              <w:spacing w:before="120" w:after="120" w:line="240" w:lineRule="auto"/>
              <w:jc w:val="right"/>
              <w:rPr>
                <w:rFonts w:ascii="Times New Roman" w:eastAsia="Times New Roman" w:hAnsi="Times New Roman" w:cs="Times New Roman"/>
                <w:color w:val="000000"/>
                <w:sz w:val="24"/>
                <w:szCs w:val="24"/>
              </w:rPr>
            </w:pPr>
            <w:r w:rsidRPr="00DD7E5C">
              <w:rPr>
                <w:rFonts w:ascii="Times New Roman" w:eastAsia="Times New Roman" w:hAnsi="Times New Roman" w:cs="Times New Roman"/>
                <w:color w:val="000000"/>
                <w:sz w:val="24"/>
                <w:szCs w:val="24"/>
              </w:rPr>
              <w:t>35.29</w:t>
            </w:r>
          </w:p>
        </w:tc>
      </w:tr>
      <w:tr w:rsidR="00DD7E5C" w:rsidRPr="00DD7E5C" w14:paraId="425ABE07" w14:textId="77777777" w:rsidTr="00BC3A03">
        <w:trPr>
          <w:trHeight w:val="300"/>
        </w:trPr>
        <w:tc>
          <w:tcPr>
            <w:tcW w:w="2439" w:type="pct"/>
            <w:tcBorders>
              <w:top w:val="nil"/>
              <w:left w:val="single" w:sz="4" w:space="0" w:color="auto"/>
              <w:bottom w:val="single" w:sz="4" w:space="0" w:color="auto"/>
              <w:right w:val="single" w:sz="4" w:space="0" w:color="auto"/>
            </w:tcBorders>
            <w:shd w:val="clear" w:color="auto" w:fill="auto"/>
            <w:noWrap/>
            <w:vAlign w:val="bottom"/>
            <w:hideMark/>
          </w:tcPr>
          <w:p w14:paraId="425ABE03" w14:textId="77777777" w:rsidR="00DD7E5C" w:rsidRPr="00DD7E5C" w:rsidRDefault="00DD7E5C" w:rsidP="00BC3A03">
            <w:pPr>
              <w:spacing w:before="120" w:after="120" w:line="240" w:lineRule="auto"/>
              <w:jc w:val="center"/>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Total</w:t>
            </w:r>
          </w:p>
        </w:tc>
        <w:tc>
          <w:tcPr>
            <w:tcW w:w="719" w:type="pct"/>
            <w:tcBorders>
              <w:top w:val="nil"/>
              <w:left w:val="nil"/>
              <w:bottom w:val="single" w:sz="4" w:space="0" w:color="auto"/>
              <w:right w:val="single" w:sz="4" w:space="0" w:color="auto"/>
            </w:tcBorders>
            <w:shd w:val="clear" w:color="auto" w:fill="auto"/>
            <w:noWrap/>
            <w:vAlign w:val="bottom"/>
            <w:hideMark/>
          </w:tcPr>
          <w:p w14:paraId="425ABE04" w14:textId="77777777" w:rsidR="00DD7E5C" w:rsidRPr="00DD7E5C" w:rsidRDefault="00DD7E5C" w:rsidP="00BC3A03">
            <w:pPr>
              <w:spacing w:before="120" w:after="120" w:line="240" w:lineRule="auto"/>
              <w:jc w:val="right"/>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63</w:t>
            </w:r>
          </w:p>
        </w:tc>
        <w:tc>
          <w:tcPr>
            <w:tcW w:w="885" w:type="pct"/>
            <w:tcBorders>
              <w:top w:val="nil"/>
              <w:left w:val="nil"/>
              <w:bottom w:val="single" w:sz="4" w:space="0" w:color="auto"/>
              <w:right w:val="single" w:sz="4" w:space="0" w:color="auto"/>
            </w:tcBorders>
            <w:shd w:val="clear" w:color="auto" w:fill="auto"/>
            <w:noWrap/>
            <w:vAlign w:val="bottom"/>
            <w:hideMark/>
          </w:tcPr>
          <w:p w14:paraId="425ABE05" w14:textId="77777777" w:rsidR="00DD7E5C" w:rsidRPr="00DD7E5C" w:rsidRDefault="00DD7E5C" w:rsidP="00BC3A03">
            <w:pPr>
              <w:spacing w:before="120" w:after="120" w:line="240" w:lineRule="auto"/>
              <w:jc w:val="right"/>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100.00</w:t>
            </w:r>
          </w:p>
        </w:tc>
        <w:tc>
          <w:tcPr>
            <w:tcW w:w="957" w:type="pct"/>
            <w:tcBorders>
              <w:top w:val="nil"/>
              <w:left w:val="nil"/>
              <w:bottom w:val="single" w:sz="4" w:space="0" w:color="auto"/>
              <w:right w:val="single" w:sz="4" w:space="0" w:color="auto"/>
            </w:tcBorders>
            <w:shd w:val="clear" w:color="auto" w:fill="auto"/>
            <w:noWrap/>
            <w:vAlign w:val="bottom"/>
            <w:hideMark/>
          </w:tcPr>
          <w:p w14:paraId="425ABE06" w14:textId="77777777" w:rsidR="00DD7E5C" w:rsidRPr="00DD7E5C" w:rsidRDefault="00DD7E5C" w:rsidP="00BC3A03">
            <w:pPr>
              <w:spacing w:before="120" w:after="120" w:line="240" w:lineRule="auto"/>
              <w:jc w:val="right"/>
              <w:rPr>
                <w:rFonts w:ascii="Times New Roman" w:eastAsia="Times New Roman" w:hAnsi="Times New Roman" w:cs="Times New Roman"/>
                <w:b/>
                <w:bCs/>
                <w:color w:val="000000"/>
                <w:sz w:val="24"/>
                <w:szCs w:val="24"/>
              </w:rPr>
            </w:pPr>
            <w:r w:rsidRPr="00DD7E5C">
              <w:rPr>
                <w:rFonts w:ascii="Times New Roman" w:eastAsia="Times New Roman" w:hAnsi="Times New Roman" w:cs="Times New Roman"/>
                <w:b/>
                <w:bCs/>
                <w:color w:val="000000"/>
                <w:sz w:val="24"/>
                <w:szCs w:val="24"/>
              </w:rPr>
              <w:t>370.59</w:t>
            </w:r>
          </w:p>
        </w:tc>
      </w:tr>
    </w:tbl>
    <w:p w14:paraId="425ABE08" w14:textId="77777777" w:rsidR="00BC3A03" w:rsidRPr="00DD7E5C" w:rsidRDefault="00BC3A03" w:rsidP="00BC3A03">
      <w:pPr>
        <w:spacing w:before="240" w:after="240" w:line="240" w:lineRule="auto"/>
        <w:jc w:val="both"/>
        <w:rPr>
          <w:rFonts w:ascii="Times New Roman" w:eastAsia="Calibri" w:hAnsi="Times New Roman" w:cs="Times New Roman"/>
          <w:szCs w:val="22"/>
        </w:rPr>
      </w:pPr>
      <w:r w:rsidRPr="009F1046">
        <w:rPr>
          <w:rFonts w:ascii="Times New Roman" w:eastAsia="Calibri" w:hAnsi="Times New Roman" w:cs="Times New Roman"/>
          <w:szCs w:val="22"/>
        </w:rPr>
        <w:t>Source: Financial Literacy Survey (2016)</w:t>
      </w:r>
    </w:p>
    <w:p w14:paraId="425ABE09" w14:textId="77777777" w:rsidR="00BC3A03" w:rsidRPr="00DD7E5C" w:rsidRDefault="00BC3A03" w:rsidP="00542289">
      <w:pPr>
        <w:spacing w:before="240" w:after="240" w:line="240" w:lineRule="auto"/>
        <w:jc w:val="both"/>
        <w:rPr>
          <w:rFonts w:ascii="Times New Roman" w:hAnsi="Times New Roman" w:cs="Times New Roman"/>
          <w:sz w:val="24"/>
          <w:szCs w:val="24"/>
        </w:rPr>
      </w:pPr>
    </w:p>
    <w:p w14:paraId="425ABE0A" w14:textId="77777777" w:rsidR="00542289" w:rsidRDefault="00542289" w:rsidP="00542289">
      <w:pPr>
        <w:pStyle w:val="ListParagraph"/>
        <w:numPr>
          <w:ilvl w:val="0"/>
          <w:numId w:val="5"/>
        </w:numPr>
        <w:spacing w:before="240"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Communication</w:t>
      </w:r>
    </w:p>
    <w:p w14:paraId="425ABE0B" w14:textId="77777777" w:rsidR="00BC3A03" w:rsidRDefault="00BC3A03" w:rsidP="00BC3A0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There are wide ranges of communication</w:t>
      </w:r>
      <w:r w:rsidR="00347D80">
        <w:rPr>
          <w:rFonts w:ascii="Times New Roman" w:hAnsi="Times New Roman" w:cs="Times New Roman"/>
          <w:sz w:val="24"/>
          <w:szCs w:val="24"/>
        </w:rPr>
        <w:t xml:space="preserve"> channels used to promote financial literacy, including traditional and new media methods (e.g. website, social media, and mobile application). </w:t>
      </w:r>
      <w:r>
        <w:rPr>
          <w:rFonts w:ascii="Times New Roman" w:hAnsi="Times New Roman" w:cs="Times New Roman"/>
          <w:sz w:val="24"/>
          <w:szCs w:val="24"/>
        </w:rPr>
        <w:t xml:space="preserve">However, the survey found </w:t>
      </w:r>
      <w:r w:rsidR="000B7218">
        <w:rPr>
          <w:rFonts w:ascii="Times New Roman" w:hAnsi="Times New Roman" w:cs="Times New Roman"/>
          <w:sz w:val="24"/>
          <w:szCs w:val="24"/>
        </w:rPr>
        <w:t>that websites are the most common channel (23%), f</w:t>
      </w:r>
      <w:r w:rsidR="008E056A">
        <w:rPr>
          <w:rFonts w:ascii="Times New Roman" w:hAnsi="Times New Roman" w:cs="Times New Roman"/>
          <w:sz w:val="24"/>
          <w:szCs w:val="24"/>
        </w:rPr>
        <w:t>ollowed by tradition</w:t>
      </w:r>
      <w:r w:rsidR="000B7218">
        <w:rPr>
          <w:rFonts w:ascii="Times New Roman" w:hAnsi="Times New Roman" w:cs="Times New Roman"/>
          <w:sz w:val="24"/>
          <w:szCs w:val="24"/>
        </w:rPr>
        <w:t>al (17.39%)</w:t>
      </w:r>
      <w:r w:rsidR="008E056A">
        <w:rPr>
          <w:rFonts w:ascii="Times New Roman" w:hAnsi="Times New Roman" w:cs="Times New Roman"/>
          <w:sz w:val="24"/>
          <w:szCs w:val="24"/>
        </w:rPr>
        <w:t xml:space="preserve"> and social media </w:t>
      </w:r>
      <w:r w:rsidR="000B7218">
        <w:rPr>
          <w:rFonts w:ascii="Times New Roman" w:hAnsi="Times New Roman" w:cs="Times New Roman"/>
          <w:sz w:val="24"/>
          <w:szCs w:val="24"/>
        </w:rPr>
        <w:t>(</w:t>
      </w:r>
      <w:r w:rsidR="008E056A">
        <w:rPr>
          <w:rFonts w:ascii="Times New Roman" w:hAnsi="Times New Roman" w:cs="Times New Roman"/>
          <w:sz w:val="24"/>
          <w:szCs w:val="24"/>
        </w:rPr>
        <w:t>15.94%</w:t>
      </w:r>
      <w:r w:rsidR="000B7218">
        <w:rPr>
          <w:rFonts w:ascii="Times New Roman" w:hAnsi="Times New Roman" w:cs="Times New Roman"/>
          <w:sz w:val="24"/>
          <w:szCs w:val="24"/>
        </w:rPr>
        <w:t>)</w:t>
      </w:r>
      <w:r w:rsidR="008E056A">
        <w:rPr>
          <w:rFonts w:ascii="Times New Roman" w:hAnsi="Times New Roman" w:cs="Times New Roman"/>
          <w:sz w:val="24"/>
          <w:szCs w:val="24"/>
        </w:rPr>
        <w:t xml:space="preserve">. </w:t>
      </w:r>
    </w:p>
    <w:p w14:paraId="425ABE0C" w14:textId="77777777" w:rsidR="00BC3A03" w:rsidRDefault="008E056A" w:rsidP="00BC3A0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Canada, there </w:t>
      </w:r>
      <w:r w:rsidR="000B7218">
        <w:rPr>
          <w:rFonts w:ascii="Times New Roman" w:hAnsi="Times New Roman" w:cs="Times New Roman"/>
          <w:sz w:val="24"/>
          <w:szCs w:val="24"/>
        </w:rPr>
        <w:t xml:space="preserve">is </w:t>
      </w:r>
      <w:r>
        <w:rPr>
          <w:rFonts w:ascii="Times New Roman" w:hAnsi="Times New Roman" w:cs="Times New Roman"/>
          <w:sz w:val="24"/>
          <w:szCs w:val="24"/>
        </w:rPr>
        <w:t xml:space="preserve">a variety of </w:t>
      </w:r>
      <w:r w:rsidR="00BC3A03" w:rsidRPr="00BC3A03">
        <w:rPr>
          <w:rFonts w:ascii="Times New Roman" w:hAnsi="Times New Roman" w:cs="Times New Roman"/>
          <w:sz w:val="24"/>
          <w:szCs w:val="24"/>
        </w:rPr>
        <w:t xml:space="preserve">public information campaigns undertaken by organizations in the public, private and non-profit sectors. In Canada, November is Financial Literacy </w:t>
      </w:r>
      <w:r w:rsidR="000B7218">
        <w:rPr>
          <w:rFonts w:ascii="Times New Roman" w:hAnsi="Times New Roman" w:cs="Times New Roman"/>
          <w:sz w:val="24"/>
          <w:szCs w:val="24"/>
        </w:rPr>
        <w:t>m</w:t>
      </w:r>
      <w:r w:rsidR="00BC3A03" w:rsidRPr="00BC3A03">
        <w:rPr>
          <w:rFonts w:ascii="Times New Roman" w:hAnsi="Times New Roman" w:cs="Times New Roman"/>
          <w:sz w:val="24"/>
          <w:szCs w:val="24"/>
        </w:rPr>
        <w:t xml:space="preserve">onth. During this </w:t>
      </w:r>
      <w:r w:rsidR="000B7218">
        <w:rPr>
          <w:rFonts w:ascii="Times New Roman" w:hAnsi="Times New Roman" w:cs="Times New Roman"/>
          <w:sz w:val="24"/>
          <w:szCs w:val="24"/>
        </w:rPr>
        <w:t>m</w:t>
      </w:r>
      <w:r w:rsidR="00BC3A03" w:rsidRPr="00BC3A03">
        <w:rPr>
          <w:rFonts w:ascii="Times New Roman" w:hAnsi="Times New Roman" w:cs="Times New Roman"/>
          <w:sz w:val="24"/>
          <w:szCs w:val="24"/>
        </w:rPr>
        <w:t xml:space="preserve">onth hundreds of organizations get involved, hosting events and producing resources to help Canadians improve their </w:t>
      </w:r>
      <w:r w:rsidR="000B7218">
        <w:rPr>
          <w:rFonts w:ascii="Times New Roman" w:hAnsi="Times New Roman" w:cs="Times New Roman"/>
          <w:sz w:val="24"/>
          <w:szCs w:val="24"/>
        </w:rPr>
        <w:t>financial knowledge and habits</w:t>
      </w:r>
      <w:r w:rsidR="00BC3A03" w:rsidRPr="00BC3A03">
        <w:rPr>
          <w:rFonts w:ascii="Times New Roman" w:hAnsi="Times New Roman" w:cs="Times New Roman"/>
          <w:sz w:val="24"/>
          <w:szCs w:val="24"/>
        </w:rPr>
        <w:t>.</w:t>
      </w:r>
    </w:p>
    <w:p w14:paraId="425ABE0D" w14:textId="77777777" w:rsidR="00BC3A03" w:rsidRPr="00BC3A03" w:rsidRDefault="008E056A" w:rsidP="008E056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Hong Kong, the </w:t>
      </w:r>
      <w:r w:rsidR="00BC3A03" w:rsidRPr="00BC3A03">
        <w:rPr>
          <w:rFonts w:ascii="Times New Roman" w:hAnsi="Times New Roman" w:cs="Times New Roman"/>
          <w:sz w:val="24"/>
          <w:szCs w:val="24"/>
        </w:rPr>
        <w:t xml:space="preserve">IEC has employed different channels and formats to conduct education work, including </w:t>
      </w:r>
      <w:r w:rsidR="000B7218">
        <w:rPr>
          <w:rFonts w:ascii="Times New Roman" w:hAnsi="Times New Roman" w:cs="Times New Roman"/>
          <w:sz w:val="24"/>
          <w:szCs w:val="24"/>
        </w:rPr>
        <w:t xml:space="preserve">a </w:t>
      </w:r>
      <w:r w:rsidR="00BC3A03" w:rsidRPr="00BC3A03">
        <w:rPr>
          <w:rFonts w:ascii="Times New Roman" w:hAnsi="Times New Roman" w:cs="Times New Roman"/>
          <w:sz w:val="24"/>
          <w:szCs w:val="24"/>
        </w:rPr>
        <w:t>website, publications, seminar</w:t>
      </w:r>
      <w:r w:rsidR="000B7218">
        <w:rPr>
          <w:rFonts w:ascii="Times New Roman" w:hAnsi="Times New Roman" w:cs="Times New Roman"/>
          <w:sz w:val="24"/>
          <w:szCs w:val="24"/>
        </w:rPr>
        <w:t>s</w:t>
      </w:r>
      <w:r w:rsidR="00BC3A03" w:rsidRPr="00BC3A03">
        <w:rPr>
          <w:rFonts w:ascii="Times New Roman" w:hAnsi="Times New Roman" w:cs="Times New Roman"/>
          <w:sz w:val="24"/>
          <w:szCs w:val="24"/>
        </w:rPr>
        <w:t xml:space="preserve"> and mass media</w:t>
      </w:r>
      <w:r w:rsidR="000B7218">
        <w:rPr>
          <w:rFonts w:ascii="Times New Roman" w:hAnsi="Times New Roman" w:cs="Times New Roman"/>
          <w:sz w:val="24"/>
          <w:szCs w:val="24"/>
        </w:rPr>
        <w:t>,</w:t>
      </w:r>
      <w:r w:rsidR="00BC3A03" w:rsidRPr="00BC3A03">
        <w:rPr>
          <w:rFonts w:ascii="Times New Roman" w:hAnsi="Times New Roman" w:cs="Times New Roman"/>
          <w:sz w:val="24"/>
          <w:szCs w:val="24"/>
        </w:rPr>
        <w:t xml:space="preserve"> such as TV, radio, social and digital media, mobile application</w:t>
      </w:r>
      <w:r w:rsidR="000B7218">
        <w:rPr>
          <w:rFonts w:ascii="Times New Roman" w:hAnsi="Times New Roman" w:cs="Times New Roman"/>
          <w:sz w:val="24"/>
          <w:szCs w:val="24"/>
        </w:rPr>
        <w:t>,</w:t>
      </w:r>
      <w:r w:rsidR="00BC3A03" w:rsidRPr="00BC3A03">
        <w:rPr>
          <w:rFonts w:ascii="Times New Roman" w:hAnsi="Times New Roman" w:cs="Times New Roman"/>
          <w:sz w:val="24"/>
          <w:szCs w:val="24"/>
        </w:rPr>
        <w:t xml:space="preserve"> as well as media interviews, with the objectives </w:t>
      </w:r>
      <w:r w:rsidR="000B7218">
        <w:rPr>
          <w:rFonts w:ascii="Times New Roman" w:hAnsi="Times New Roman" w:cs="Times New Roman"/>
          <w:sz w:val="24"/>
          <w:szCs w:val="24"/>
        </w:rPr>
        <w:t>of helping</w:t>
      </w:r>
      <w:r w:rsidR="00BC3A03" w:rsidRPr="00BC3A03">
        <w:rPr>
          <w:rFonts w:ascii="Times New Roman" w:hAnsi="Times New Roman" w:cs="Times New Roman"/>
          <w:sz w:val="24"/>
          <w:szCs w:val="24"/>
        </w:rPr>
        <w:t xml:space="preserve"> the public better plan and manage their personal finances and remind the public of the special features and risks of different financial products</w:t>
      </w:r>
      <w:r w:rsidR="000B7218">
        <w:rPr>
          <w:rFonts w:ascii="Times New Roman" w:hAnsi="Times New Roman" w:cs="Times New Roman"/>
          <w:sz w:val="24"/>
          <w:szCs w:val="24"/>
        </w:rPr>
        <w:t>. The IEC also</w:t>
      </w:r>
      <w:r w:rsidR="00BC3A03" w:rsidRPr="00BC3A03">
        <w:rPr>
          <w:rFonts w:ascii="Times New Roman" w:hAnsi="Times New Roman" w:cs="Times New Roman"/>
          <w:sz w:val="24"/>
          <w:szCs w:val="24"/>
        </w:rPr>
        <w:t xml:space="preserve"> promote</w:t>
      </w:r>
      <w:r w:rsidR="000B7218">
        <w:rPr>
          <w:rFonts w:ascii="Times New Roman" w:hAnsi="Times New Roman" w:cs="Times New Roman"/>
          <w:sz w:val="24"/>
          <w:szCs w:val="24"/>
        </w:rPr>
        <w:t>s</w:t>
      </w:r>
      <w:r w:rsidR="00BC3A03" w:rsidRPr="00BC3A03">
        <w:rPr>
          <w:rFonts w:ascii="Times New Roman" w:hAnsi="Times New Roman" w:cs="Times New Roman"/>
          <w:sz w:val="24"/>
          <w:szCs w:val="24"/>
        </w:rPr>
        <w:t xml:space="preserve"> responsible attitudes towards money management, investment and borrowing.</w:t>
      </w:r>
    </w:p>
    <w:p w14:paraId="425ABE0E" w14:textId="77777777" w:rsidR="00E83D93" w:rsidRPr="00E83D93" w:rsidRDefault="00E83D93" w:rsidP="00E83D9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In the Philippines, s</w:t>
      </w:r>
      <w:r w:rsidRPr="00E83D93">
        <w:rPr>
          <w:rFonts w:ascii="Times New Roman" w:hAnsi="Times New Roman" w:cs="Times New Roman"/>
          <w:sz w:val="24"/>
          <w:szCs w:val="24"/>
        </w:rPr>
        <w:t>ocial media and internal advocacy</w:t>
      </w:r>
      <w:r>
        <w:rPr>
          <w:rFonts w:ascii="Times New Roman" w:hAnsi="Times New Roman" w:cs="Times New Roman"/>
          <w:sz w:val="24"/>
          <w:szCs w:val="24"/>
        </w:rPr>
        <w:t xml:space="preserve"> programs on financial literacy have been used for promoting financial literacy program. </w:t>
      </w:r>
    </w:p>
    <w:p w14:paraId="425ABE0F" w14:textId="77777777" w:rsidR="00E83D93" w:rsidRPr="00AC1163" w:rsidRDefault="00025B1A" w:rsidP="00AC1163">
      <w:pPr>
        <w:pStyle w:val="Heading1"/>
        <w:numPr>
          <w:ilvl w:val="0"/>
          <w:numId w:val="1"/>
        </w:numPr>
        <w:tabs>
          <w:tab w:val="left" w:pos="360"/>
        </w:tabs>
        <w:ind w:left="360" w:hanging="360"/>
        <w:rPr>
          <w:rFonts w:ascii="Times New Roman" w:hAnsi="Times New Roman" w:cs="Times New Roman"/>
          <w:b/>
          <w:bCs/>
          <w:sz w:val="24"/>
          <w:szCs w:val="24"/>
        </w:rPr>
      </w:pPr>
      <w:r w:rsidRPr="00AC1163">
        <w:rPr>
          <w:rFonts w:ascii="Times New Roman" w:hAnsi="Times New Roman" w:cs="Times New Roman"/>
          <w:b/>
          <w:bCs/>
          <w:color w:val="000000" w:themeColor="text1"/>
          <w:sz w:val="24"/>
          <w:szCs w:val="24"/>
        </w:rPr>
        <w:t>Summary and recommendations</w:t>
      </w:r>
    </w:p>
    <w:p w14:paraId="425ABE10" w14:textId="77777777" w:rsidR="00025B1A" w:rsidRPr="00BE14B0" w:rsidRDefault="00025B1A" w:rsidP="00025B1A">
      <w:pPr>
        <w:tabs>
          <w:tab w:val="left" w:pos="360"/>
        </w:tabs>
        <w:spacing w:before="240" w:after="240" w:line="240" w:lineRule="auto"/>
        <w:jc w:val="both"/>
        <w:rPr>
          <w:rFonts w:ascii="Times New Roman" w:hAnsi="Times New Roman" w:cs="Times New Roman"/>
          <w:sz w:val="24"/>
          <w:szCs w:val="24"/>
          <w:highlight w:val="yellow"/>
        </w:rPr>
      </w:pPr>
      <w:r w:rsidRPr="00BE14B0">
        <w:rPr>
          <w:rFonts w:ascii="Times New Roman" w:hAnsi="Times New Roman" w:cs="Times New Roman"/>
          <w:sz w:val="24"/>
          <w:szCs w:val="24"/>
          <w:highlight w:val="yellow"/>
        </w:rPr>
        <w:t xml:space="preserve">The survey pointed out that financial literacy is </w:t>
      </w:r>
      <w:r w:rsidR="000B7218" w:rsidRPr="00BE14B0">
        <w:rPr>
          <w:rFonts w:ascii="Times New Roman" w:hAnsi="Times New Roman" w:cs="Times New Roman"/>
          <w:sz w:val="24"/>
          <w:szCs w:val="24"/>
          <w:highlight w:val="yellow"/>
        </w:rPr>
        <w:t>growing in importance</w:t>
      </w:r>
      <w:r w:rsidRPr="00BE14B0">
        <w:rPr>
          <w:rFonts w:ascii="Times New Roman" w:hAnsi="Times New Roman" w:cs="Times New Roman"/>
          <w:sz w:val="24"/>
          <w:szCs w:val="24"/>
          <w:highlight w:val="yellow"/>
        </w:rPr>
        <w:t xml:space="preserve"> and has </w:t>
      </w:r>
      <w:r w:rsidR="000B7218" w:rsidRPr="00BE14B0">
        <w:rPr>
          <w:rFonts w:ascii="Times New Roman" w:hAnsi="Times New Roman" w:cs="Times New Roman"/>
          <w:sz w:val="24"/>
          <w:szCs w:val="24"/>
          <w:highlight w:val="yellow"/>
        </w:rPr>
        <w:t xml:space="preserve">a </w:t>
      </w:r>
      <w:r w:rsidRPr="00BE14B0">
        <w:rPr>
          <w:rFonts w:ascii="Times New Roman" w:hAnsi="Times New Roman" w:cs="Times New Roman"/>
          <w:sz w:val="24"/>
          <w:szCs w:val="24"/>
          <w:highlight w:val="yellow"/>
        </w:rPr>
        <w:t xml:space="preserve">significant role among the APEC economies. Many </w:t>
      </w:r>
      <w:r w:rsidR="000B7218" w:rsidRPr="00BE14B0">
        <w:rPr>
          <w:rFonts w:ascii="Times New Roman" w:hAnsi="Times New Roman" w:cs="Times New Roman"/>
          <w:sz w:val="24"/>
          <w:szCs w:val="24"/>
          <w:highlight w:val="yellow"/>
        </w:rPr>
        <w:t xml:space="preserve">economies </w:t>
      </w:r>
      <w:r w:rsidRPr="00BE14B0">
        <w:rPr>
          <w:rFonts w:ascii="Times New Roman" w:hAnsi="Times New Roman" w:cs="Times New Roman"/>
          <w:sz w:val="24"/>
          <w:szCs w:val="24"/>
          <w:highlight w:val="yellow"/>
        </w:rPr>
        <w:t xml:space="preserve">have initiated policies and programs. Regarding the coverage, the study found out that the financial literacy policies and programs implemented in APEC economies have covered SMEs. There are many courses provided by government organizations, private organizations, and NGOs. In term of accessibility, we saw evidence of applying many channels, such as website, mobile application, </w:t>
      </w:r>
      <w:r w:rsidR="000B7218" w:rsidRPr="00BE14B0">
        <w:rPr>
          <w:rFonts w:ascii="Times New Roman" w:hAnsi="Times New Roman" w:cs="Times New Roman"/>
          <w:sz w:val="24"/>
          <w:szCs w:val="24"/>
          <w:highlight w:val="yellow"/>
        </w:rPr>
        <w:t xml:space="preserve">and </w:t>
      </w:r>
      <w:r w:rsidRPr="00BE14B0">
        <w:rPr>
          <w:rFonts w:ascii="Times New Roman" w:hAnsi="Times New Roman" w:cs="Times New Roman"/>
          <w:sz w:val="24"/>
          <w:szCs w:val="24"/>
          <w:highlight w:val="yellow"/>
        </w:rPr>
        <w:t>social media, to promote the financial literacy.</w:t>
      </w:r>
      <w:r w:rsidR="00BE14B0" w:rsidRPr="00BE14B0">
        <w:rPr>
          <w:rFonts w:ascii="Times New Roman" w:hAnsi="Times New Roman" w:cs="Times New Roman"/>
          <w:sz w:val="24"/>
          <w:szCs w:val="24"/>
          <w:highlight w:val="yellow"/>
        </w:rPr>
        <w:t xml:space="preserve"> </w:t>
      </w:r>
    </w:p>
    <w:p w14:paraId="425ABE11" w14:textId="77777777" w:rsidR="00BE14B0" w:rsidRPr="00BE14B0" w:rsidRDefault="00BE14B0" w:rsidP="00BE14B0">
      <w:pPr>
        <w:tabs>
          <w:tab w:val="left" w:pos="0"/>
        </w:tabs>
        <w:spacing w:before="240" w:after="240" w:line="240" w:lineRule="auto"/>
        <w:jc w:val="both"/>
        <w:rPr>
          <w:rFonts w:ascii="Times New Roman" w:hAnsi="Times New Roman" w:cs="Times New Roman"/>
          <w:sz w:val="24"/>
          <w:szCs w:val="24"/>
          <w:highlight w:val="yellow"/>
        </w:rPr>
      </w:pPr>
      <w:r w:rsidRPr="00BE14B0">
        <w:rPr>
          <w:rFonts w:ascii="Times New Roman" w:hAnsi="Times New Roman" w:cs="Times New Roman"/>
          <w:sz w:val="24"/>
          <w:szCs w:val="24"/>
          <w:highlight w:val="yellow"/>
        </w:rPr>
        <w:t xml:space="preserve">In order to develop the financial literacy program for SMEs, the study divided the period of development into two phases. The first phase called “establishment of certain body and strategic development”. Having certain body working on this issue is quite important. According, the survey found that most of the APEC economies lack of certain bodies working on this program. In addition, it also has overlapping in term of their authorities. After having a certain body working on this issue, the APEC should focus on developing and implementing an APEC strategy for financial education. If one already exists, developing a framework for providing financial education for SMEs within the strategy.  </w:t>
      </w:r>
    </w:p>
    <w:p w14:paraId="425ABE12" w14:textId="77777777" w:rsidR="00BE14B0" w:rsidRPr="00BE14B0" w:rsidRDefault="00BE14B0" w:rsidP="00BE14B0">
      <w:pPr>
        <w:tabs>
          <w:tab w:val="left" w:pos="0"/>
        </w:tabs>
        <w:spacing w:before="240" w:after="240" w:line="240" w:lineRule="auto"/>
        <w:jc w:val="both"/>
        <w:rPr>
          <w:rFonts w:ascii="Times New Roman" w:hAnsi="Times New Roman" w:cs="Times New Roman"/>
          <w:sz w:val="24"/>
          <w:szCs w:val="24"/>
          <w:highlight w:val="yellow"/>
        </w:rPr>
      </w:pPr>
      <w:r w:rsidRPr="00BE14B0">
        <w:rPr>
          <w:rFonts w:ascii="Times New Roman" w:hAnsi="Times New Roman" w:cs="Times New Roman"/>
          <w:sz w:val="24"/>
          <w:szCs w:val="24"/>
          <w:highlight w:val="yellow"/>
        </w:rPr>
        <w:t>After having a strategy, all the APEC economies should conduct an assessment of the financial literacy of SMEs in their economy to gauge their needs. Then, it needs to develop their own national strategies and develop the curriculum for SMEs.</w:t>
      </w:r>
    </w:p>
    <w:p w14:paraId="425ABE13" w14:textId="77777777" w:rsidR="00BC3A03" w:rsidRDefault="00BE14B0" w:rsidP="00BE14B0">
      <w:pPr>
        <w:tabs>
          <w:tab w:val="left" w:pos="0"/>
        </w:tabs>
        <w:spacing w:before="240" w:after="240" w:line="240" w:lineRule="auto"/>
        <w:jc w:val="both"/>
        <w:rPr>
          <w:rFonts w:ascii="Times New Roman" w:hAnsi="Times New Roman" w:cs="Times New Roman"/>
          <w:sz w:val="24"/>
          <w:szCs w:val="24"/>
        </w:rPr>
      </w:pPr>
      <w:r w:rsidRPr="00BE14B0">
        <w:rPr>
          <w:rFonts w:ascii="Times New Roman" w:hAnsi="Times New Roman" w:cs="Times New Roman"/>
          <w:sz w:val="24"/>
          <w:szCs w:val="24"/>
          <w:highlight w:val="yellow"/>
        </w:rPr>
        <w:t>The second phase is expanding channels. Once we have the strategy and curriculum (or training program), we need to create platform to share these outputs including best practices on financial literacy programs for SMEs among member economies.</w:t>
      </w:r>
      <w:r>
        <w:rPr>
          <w:rFonts w:ascii="Times New Roman" w:hAnsi="Times New Roman" w:cs="Times New Roman"/>
          <w:sz w:val="24"/>
          <w:szCs w:val="24"/>
        </w:rPr>
        <w:t xml:space="preserve"> </w:t>
      </w:r>
    </w:p>
    <w:p w14:paraId="425ABE14" w14:textId="77777777" w:rsidR="00AC1163" w:rsidRPr="00AC1163" w:rsidRDefault="00AC1163" w:rsidP="00AC1163">
      <w:pPr>
        <w:spacing w:before="240" w:after="240" w:line="240" w:lineRule="auto"/>
        <w:jc w:val="center"/>
        <w:rPr>
          <w:rFonts w:ascii="Times New Roman" w:hAnsi="Times New Roman" w:cs="Times New Roman"/>
          <w:b/>
          <w:bCs/>
          <w:sz w:val="24"/>
          <w:szCs w:val="24"/>
        </w:rPr>
      </w:pPr>
      <w:r w:rsidRPr="00AC1163">
        <w:rPr>
          <w:rFonts w:ascii="Times New Roman" w:hAnsi="Times New Roman" w:cs="Times New Roman"/>
          <w:b/>
          <w:bCs/>
          <w:sz w:val="24"/>
          <w:szCs w:val="24"/>
        </w:rPr>
        <w:lastRenderedPageBreak/>
        <w:t>Bibliography</w:t>
      </w:r>
    </w:p>
    <w:p w14:paraId="425ABE15" w14:textId="77777777" w:rsidR="00AC1163" w:rsidRDefault="00AC1163" w:rsidP="00AC1163">
      <w:pPr>
        <w:pStyle w:val="Bibliography"/>
        <w:ind w:left="720" w:hanging="720"/>
        <w:jc w:val="both"/>
        <w:rPr>
          <w:rFonts w:ascii="Times New Roman" w:hAnsi="Times New Roman" w:cs="Times New Roman"/>
          <w:noProof/>
          <w:sz w:val="24"/>
          <w:szCs w:val="24"/>
        </w:rPr>
      </w:pPr>
      <w:r w:rsidRPr="00AC1163">
        <w:rPr>
          <w:rFonts w:ascii="Times New Roman" w:hAnsi="Times New Roman" w:cs="Times New Roman"/>
          <w:sz w:val="24"/>
          <w:szCs w:val="24"/>
        </w:rPr>
        <w:fldChar w:fldCharType="begin"/>
      </w:r>
      <w:r w:rsidRPr="00AC1163">
        <w:rPr>
          <w:rFonts w:ascii="Times New Roman" w:hAnsi="Times New Roman" w:cs="Times New Roman"/>
          <w:sz w:val="24"/>
          <w:szCs w:val="24"/>
        </w:rPr>
        <w:instrText xml:space="preserve"> BIBLIOGRAPHY  \l 1033 </w:instrText>
      </w:r>
      <w:r w:rsidRPr="00AC1163">
        <w:rPr>
          <w:rFonts w:ascii="Times New Roman" w:hAnsi="Times New Roman" w:cs="Times New Roman"/>
          <w:sz w:val="24"/>
          <w:szCs w:val="24"/>
        </w:rPr>
        <w:fldChar w:fldCharType="separate"/>
      </w:r>
      <w:r w:rsidRPr="00AC1163">
        <w:rPr>
          <w:rFonts w:ascii="Times New Roman" w:hAnsi="Times New Roman" w:cs="Times New Roman"/>
          <w:noProof/>
          <w:sz w:val="24"/>
          <w:szCs w:val="24"/>
        </w:rPr>
        <w:t xml:space="preserve">Eniola, A. A., &amp; Ektebang, H. (2014, August 30 ). SME firms performance in Nigeria: Competitive advantage and its impact. </w:t>
      </w:r>
      <w:r w:rsidRPr="00AC1163">
        <w:rPr>
          <w:rFonts w:ascii="Times New Roman" w:hAnsi="Times New Roman" w:cs="Times New Roman"/>
          <w:i/>
          <w:iCs/>
          <w:noProof/>
          <w:sz w:val="24"/>
          <w:szCs w:val="24"/>
        </w:rPr>
        <w:t xml:space="preserve">International Journal of Research Studies in Management, 3 </w:t>
      </w:r>
      <w:r w:rsidRPr="00AC1163">
        <w:rPr>
          <w:rFonts w:ascii="Times New Roman" w:hAnsi="Times New Roman" w:cs="Times New Roman"/>
          <w:noProof/>
          <w:sz w:val="24"/>
          <w:szCs w:val="24"/>
        </w:rPr>
        <w:t>(2), 75-86. doi:10.5861/ijrsm.2014.854</w:t>
      </w:r>
    </w:p>
    <w:p w14:paraId="425ABE16" w14:textId="77777777" w:rsidR="005874E7" w:rsidRDefault="005874E7" w:rsidP="00AC1163">
      <w:pPr>
        <w:ind w:left="720" w:hanging="720"/>
        <w:rPr>
          <w:rFonts w:ascii="Times New Roman" w:hAnsi="Times New Roman" w:cs="Times New Roman"/>
          <w:sz w:val="24"/>
          <w:szCs w:val="24"/>
        </w:rPr>
      </w:pPr>
      <w:r w:rsidRPr="005874E7">
        <w:rPr>
          <w:rFonts w:ascii="Times New Roman" w:hAnsi="Times New Roman" w:cs="Times New Roman"/>
          <w:sz w:val="24"/>
          <w:szCs w:val="24"/>
        </w:rPr>
        <w:t>Gavigan, K. (2010). Show me the money resources: Financial literacy for 21st-Century learners. Library Media Connection, 28 (5), 24-27</w:t>
      </w:r>
    </w:p>
    <w:p w14:paraId="425ABE17" w14:textId="77777777" w:rsidR="00AC1163" w:rsidRDefault="00AC1163" w:rsidP="00AC1163">
      <w:pPr>
        <w:ind w:left="720" w:hanging="720"/>
        <w:rPr>
          <w:rFonts w:ascii="Times New Roman" w:hAnsi="Times New Roman" w:cs="Times New Roman"/>
          <w:sz w:val="24"/>
          <w:szCs w:val="24"/>
        </w:rPr>
      </w:pPr>
      <w:r w:rsidRPr="00AC1163">
        <w:rPr>
          <w:rFonts w:ascii="Times New Roman" w:hAnsi="Times New Roman" w:cs="Times New Roman"/>
          <w:sz w:val="24"/>
          <w:szCs w:val="24"/>
        </w:rPr>
        <w:t>Huston, S. J. (2010a). Measuring Financial Literacy. Journal of Consumer Affairs, 44(Summer), 296-316.</w:t>
      </w:r>
    </w:p>
    <w:p w14:paraId="425ABE18" w14:textId="77777777" w:rsidR="005874E7" w:rsidRDefault="005874E7" w:rsidP="005874E7">
      <w:pPr>
        <w:ind w:left="720" w:hanging="720"/>
        <w:rPr>
          <w:rFonts w:ascii="Times New Roman" w:hAnsi="Times New Roman" w:cs="Times New Roman"/>
          <w:sz w:val="24"/>
          <w:szCs w:val="24"/>
        </w:rPr>
      </w:pPr>
      <w:r w:rsidRPr="005874E7">
        <w:rPr>
          <w:rFonts w:ascii="Times New Roman" w:hAnsi="Times New Roman" w:cs="Times New Roman"/>
          <w:sz w:val="24"/>
          <w:szCs w:val="24"/>
        </w:rPr>
        <w:t>Marcolin, S., &amp; Abraham, A. (2006). Financial literacy research: Current literature and future opportunities.</w:t>
      </w:r>
      <w:r>
        <w:rPr>
          <w:rFonts w:ascii="Times New Roman" w:hAnsi="Times New Roman" w:cs="Times New Roman"/>
          <w:sz w:val="24"/>
          <w:szCs w:val="24"/>
        </w:rPr>
        <w:t xml:space="preserve"> </w:t>
      </w:r>
      <w:r w:rsidRPr="005874E7">
        <w:rPr>
          <w:rFonts w:ascii="Times New Roman" w:hAnsi="Times New Roman" w:cs="Times New Roman"/>
          <w:sz w:val="24"/>
          <w:szCs w:val="24"/>
        </w:rPr>
        <w:t>Paper presented at the 3rd international conference of contemporary business, Leura</w:t>
      </w:r>
    </w:p>
    <w:p w14:paraId="425ABE19" w14:textId="77777777" w:rsidR="005874E7" w:rsidRPr="00AC1163" w:rsidRDefault="005874E7" w:rsidP="005874E7">
      <w:pPr>
        <w:ind w:left="720" w:hanging="720"/>
        <w:rPr>
          <w:rFonts w:ascii="Times New Roman" w:hAnsi="Times New Roman" w:cs="Times New Roman"/>
          <w:sz w:val="24"/>
          <w:szCs w:val="24"/>
        </w:rPr>
      </w:pPr>
      <w:r w:rsidRPr="005874E7">
        <w:rPr>
          <w:rFonts w:ascii="Times New Roman" w:hAnsi="Times New Roman" w:cs="Times New Roman"/>
          <w:sz w:val="24"/>
          <w:szCs w:val="24"/>
        </w:rPr>
        <w:t>Moore, D. (2003). Survey of financial literacy in Washington State: knowledge, behavior, attitudes, and</w:t>
      </w:r>
      <w:r>
        <w:rPr>
          <w:rFonts w:ascii="Times New Roman" w:hAnsi="Times New Roman" w:cs="Times New Roman"/>
          <w:sz w:val="24"/>
          <w:szCs w:val="24"/>
        </w:rPr>
        <w:t xml:space="preserve"> </w:t>
      </w:r>
      <w:r w:rsidRPr="005874E7">
        <w:rPr>
          <w:rFonts w:ascii="Times New Roman" w:hAnsi="Times New Roman" w:cs="Times New Roman"/>
          <w:sz w:val="24"/>
          <w:szCs w:val="24"/>
        </w:rPr>
        <w:t>experiences. Technical Report n. 03-39, Social and Economic Sciences Research Center, Washington</w:t>
      </w:r>
      <w:r>
        <w:rPr>
          <w:rFonts w:ascii="Times New Roman" w:hAnsi="Times New Roman" w:cs="Times New Roman"/>
          <w:sz w:val="24"/>
          <w:szCs w:val="24"/>
        </w:rPr>
        <w:t xml:space="preserve"> </w:t>
      </w:r>
      <w:r w:rsidRPr="005874E7">
        <w:rPr>
          <w:rFonts w:ascii="Times New Roman" w:hAnsi="Times New Roman" w:cs="Times New Roman"/>
          <w:sz w:val="24"/>
          <w:szCs w:val="24"/>
        </w:rPr>
        <w:t>State University.</w:t>
      </w:r>
    </w:p>
    <w:p w14:paraId="425ABE1A" w14:textId="77777777" w:rsidR="00AC1163" w:rsidRDefault="00AC1163" w:rsidP="005874E7">
      <w:pPr>
        <w:spacing w:before="240" w:after="240" w:line="240" w:lineRule="auto"/>
        <w:ind w:left="720" w:hanging="720"/>
        <w:jc w:val="both"/>
        <w:rPr>
          <w:rFonts w:ascii="Times New Roman" w:hAnsi="Times New Roman" w:cs="Times New Roman"/>
          <w:sz w:val="24"/>
          <w:szCs w:val="24"/>
        </w:rPr>
      </w:pPr>
      <w:r w:rsidRPr="00AC1163">
        <w:rPr>
          <w:rFonts w:ascii="Times New Roman" w:hAnsi="Times New Roman" w:cs="Times New Roman"/>
          <w:sz w:val="24"/>
          <w:szCs w:val="24"/>
        </w:rPr>
        <w:fldChar w:fldCharType="end"/>
      </w:r>
      <w:proofErr w:type="spellStart"/>
      <w:r w:rsidR="005874E7" w:rsidRPr="005874E7">
        <w:rPr>
          <w:rFonts w:ascii="Times New Roman" w:hAnsi="Times New Roman" w:cs="Times New Roman"/>
          <w:sz w:val="24"/>
          <w:szCs w:val="24"/>
        </w:rPr>
        <w:t>Remund</w:t>
      </w:r>
      <w:proofErr w:type="spellEnd"/>
      <w:r w:rsidR="005874E7" w:rsidRPr="005874E7">
        <w:rPr>
          <w:rFonts w:ascii="Times New Roman" w:hAnsi="Times New Roman" w:cs="Times New Roman"/>
          <w:sz w:val="24"/>
          <w:szCs w:val="24"/>
        </w:rPr>
        <w:t>, D. L. (2010). Financial literacy explicated: The case for a clearer definition in an increasingly complex economy. Journal of Consumer Affairs, 44(2), 276–295. http://dx.doi.org/10.1111/j.1745-6606.2010.01169.x</w:t>
      </w:r>
    </w:p>
    <w:p w14:paraId="425ABE1B" w14:textId="77777777" w:rsidR="005874E7" w:rsidRDefault="005874E7" w:rsidP="005874E7">
      <w:pPr>
        <w:spacing w:before="240" w:after="240" w:line="240" w:lineRule="auto"/>
        <w:ind w:left="720" w:hanging="720"/>
        <w:jc w:val="both"/>
        <w:rPr>
          <w:rFonts w:ascii="Times New Roman" w:hAnsi="Times New Roman" w:cs="Times New Roman"/>
          <w:sz w:val="24"/>
          <w:szCs w:val="24"/>
        </w:rPr>
      </w:pPr>
      <w:r w:rsidRPr="005874E7">
        <w:rPr>
          <w:rFonts w:ascii="Times New Roman" w:hAnsi="Times New Roman" w:cs="Times New Roman"/>
          <w:sz w:val="24"/>
          <w:szCs w:val="24"/>
        </w:rPr>
        <w:t>USAID. (2009). Development of strategy options for SME financial literacy - Final Report. Retrieved from</w:t>
      </w:r>
      <w:r>
        <w:rPr>
          <w:rFonts w:ascii="Times New Roman" w:hAnsi="Times New Roman" w:cs="Times New Roman"/>
          <w:sz w:val="24"/>
          <w:szCs w:val="24"/>
        </w:rPr>
        <w:t xml:space="preserve"> </w:t>
      </w:r>
      <w:r w:rsidRPr="005874E7">
        <w:rPr>
          <w:rFonts w:ascii="Times New Roman" w:hAnsi="Times New Roman" w:cs="Times New Roman"/>
          <w:sz w:val="24"/>
          <w:szCs w:val="24"/>
        </w:rPr>
        <w:t xml:space="preserve">http://pdf.usaid.gov/pdf_docs/PNADP093.pdf </w:t>
      </w:r>
      <w:r w:rsidRPr="005874E7">
        <w:rPr>
          <w:rFonts w:ascii="Times New Roman" w:hAnsi="Times New Roman" w:cs="Times New Roman"/>
          <w:sz w:val="24"/>
          <w:szCs w:val="24"/>
        </w:rPr>
        <w:cr/>
      </w:r>
    </w:p>
    <w:p w14:paraId="425ABE1C" w14:textId="77777777" w:rsidR="005874E7" w:rsidRPr="005874E7" w:rsidRDefault="005874E7" w:rsidP="005874E7">
      <w:pPr>
        <w:spacing w:before="240" w:after="240" w:line="240" w:lineRule="auto"/>
        <w:ind w:left="720" w:hanging="720"/>
        <w:jc w:val="both"/>
        <w:rPr>
          <w:rFonts w:ascii="Times New Roman" w:hAnsi="Times New Roman" w:cs="Times New Roman"/>
          <w:sz w:val="24"/>
          <w:szCs w:val="24"/>
        </w:rPr>
      </w:pPr>
    </w:p>
    <w:sectPr w:rsidR="005874E7" w:rsidRPr="005874E7" w:rsidSect="00B704E9">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BE27" w14:textId="77777777" w:rsidR="00EB5FFC" w:rsidRDefault="00EB5FFC" w:rsidP="00B704E9">
      <w:pPr>
        <w:spacing w:after="0" w:line="240" w:lineRule="auto"/>
      </w:pPr>
      <w:r>
        <w:separator/>
      </w:r>
    </w:p>
  </w:endnote>
  <w:endnote w:type="continuationSeparator" w:id="0">
    <w:p w14:paraId="425ABE28" w14:textId="77777777" w:rsidR="00EB5FFC" w:rsidRDefault="00EB5FFC" w:rsidP="00B7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BE29" w14:textId="77777777" w:rsidR="00BB30BA" w:rsidRDefault="00BB30BA" w:rsidP="00B704E9">
    <w:pPr>
      <w:pStyle w:val="Footer"/>
      <w:jc w:val="center"/>
    </w:pPr>
  </w:p>
  <w:p w14:paraId="425ABE2A" w14:textId="77777777" w:rsidR="00BB30BA" w:rsidRDefault="00BB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Cs w:val="22"/>
      </w:rPr>
      <w:id w:val="597603751"/>
      <w:docPartObj>
        <w:docPartGallery w:val="Page Numbers (Bottom of Page)"/>
        <w:docPartUnique/>
      </w:docPartObj>
    </w:sdtPr>
    <w:sdtEndPr/>
    <w:sdtContent>
      <w:sdt>
        <w:sdtPr>
          <w:rPr>
            <w:rFonts w:ascii="Times New Roman" w:hAnsi="Times New Roman" w:cs="Times New Roman"/>
            <w:szCs w:val="22"/>
          </w:rPr>
          <w:id w:val="826171759"/>
          <w:docPartObj>
            <w:docPartGallery w:val="Page Numbers (Top of Page)"/>
            <w:docPartUnique/>
          </w:docPartObj>
        </w:sdtPr>
        <w:sdtEndPr/>
        <w:sdtContent>
          <w:p w14:paraId="425ABE2B" w14:textId="7B8DC434" w:rsidR="00BB30BA" w:rsidRPr="00EB01B6" w:rsidRDefault="00BB30BA" w:rsidP="00B704E9">
            <w:pPr>
              <w:pStyle w:val="Footer"/>
              <w:jc w:val="center"/>
              <w:rPr>
                <w:rFonts w:ascii="Times New Roman" w:hAnsi="Times New Roman" w:cs="Times New Roman"/>
                <w:szCs w:val="22"/>
              </w:rPr>
            </w:pPr>
            <w:r w:rsidRPr="00EB01B6">
              <w:rPr>
                <w:rFonts w:ascii="Times New Roman" w:hAnsi="Times New Roman" w:cs="Times New Roman"/>
                <w:szCs w:val="22"/>
              </w:rPr>
              <w:t xml:space="preserve">Page </w:t>
            </w:r>
            <w:r w:rsidRPr="00EB01B6">
              <w:rPr>
                <w:rFonts w:ascii="Times New Roman" w:hAnsi="Times New Roman" w:cs="Times New Roman"/>
                <w:szCs w:val="22"/>
              </w:rPr>
              <w:fldChar w:fldCharType="begin"/>
            </w:r>
            <w:r w:rsidRPr="00EB01B6">
              <w:rPr>
                <w:rFonts w:ascii="Times New Roman" w:hAnsi="Times New Roman" w:cs="Times New Roman"/>
                <w:szCs w:val="22"/>
              </w:rPr>
              <w:instrText xml:space="preserve"> PAGE </w:instrText>
            </w:r>
            <w:r w:rsidRPr="00EB01B6">
              <w:rPr>
                <w:rFonts w:ascii="Times New Roman" w:hAnsi="Times New Roman" w:cs="Times New Roman"/>
                <w:szCs w:val="22"/>
              </w:rPr>
              <w:fldChar w:fldCharType="separate"/>
            </w:r>
            <w:r w:rsidR="00F56E72">
              <w:rPr>
                <w:rFonts w:ascii="Times New Roman" w:hAnsi="Times New Roman" w:cs="Times New Roman"/>
                <w:noProof/>
                <w:szCs w:val="22"/>
              </w:rPr>
              <w:t>2</w:t>
            </w:r>
            <w:r w:rsidRPr="00EB01B6">
              <w:rPr>
                <w:rFonts w:ascii="Times New Roman" w:hAnsi="Times New Roman" w:cs="Times New Roman"/>
                <w:szCs w:val="22"/>
              </w:rPr>
              <w:fldChar w:fldCharType="end"/>
            </w:r>
            <w:r w:rsidRPr="00EB01B6">
              <w:rPr>
                <w:rFonts w:ascii="Times New Roman" w:hAnsi="Times New Roman" w:cs="Times New Roman"/>
                <w:szCs w:val="22"/>
              </w:rPr>
              <w:t xml:space="preserve"> of </w:t>
            </w:r>
            <w:r>
              <w:rPr>
                <w:rFonts w:ascii="Times New Roman" w:hAnsi="Times New Roman" w:cs="Times New Roman"/>
                <w:szCs w:val="22"/>
              </w:rPr>
              <w:t>13</w:t>
            </w:r>
          </w:p>
        </w:sdtContent>
      </w:sdt>
    </w:sdtContent>
  </w:sdt>
  <w:p w14:paraId="425ABE2C" w14:textId="77777777" w:rsidR="00BB30BA" w:rsidRDefault="00BB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BE25" w14:textId="77777777" w:rsidR="00EB5FFC" w:rsidRDefault="00EB5FFC" w:rsidP="00B704E9">
      <w:pPr>
        <w:spacing w:after="0" w:line="240" w:lineRule="auto"/>
      </w:pPr>
      <w:r>
        <w:separator/>
      </w:r>
    </w:p>
  </w:footnote>
  <w:footnote w:type="continuationSeparator" w:id="0">
    <w:p w14:paraId="425ABE26" w14:textId="77777777" w:rsidR="00EB5FFC" w:rsidRDefault="00EB5FFC" w:rsidP="00B7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D22"/>
    <w:multiLevelType w:val="hybridMultilevel"/>
    <w:tmpl w:val="5948A3BC"/>
    <w:lvl w:ilvl="0" w:tplc="4296D2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E2BD0"/>
    <w:multiLevelType w:val="hybridMultilevel"/>
    <w:tmpl w:val="A2C03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321CA"/>
    <w:multiLevelType w:val="hybridMultilevel"/>
    <w:tmpl w:val="FEF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C606A"/>
    <w:multiLevelType w:val="hybridMultilevel"/>
    <w:tmpl w:val="F618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67A5D"/>
    <w:multiLevelType w:val="hybridMultilevel"/>
    <w:tmpl w:val="35A202D6"/>
    <w:lvl w:ilvl="0" w:tplc="CB5E556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1324C"/>
    <w:multiLevelType w:val="hybridMultilevel"/>
    <w:tmpl w:val="41220E5E"/>
    <w:lvl w:ilvl="0" w:tplc="896EB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52422"/>
    <w:multiLevelType w:val="hybridMultilevel"/>
    <w:tmpl w:val="2C8EA928"/>
    <w:lvl w:ilvl="0" w:tplc="5644EAB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05F62"/>
    <w:multiLevelType w:val="hybridMultilevel"/>
    <w:tmpl w:val="FDA2ECEC"/>
    <w:lvl w:ilvl="0" w:tplc="B9F0BCE6">
      <w:start w:val="1"/>
      <w:numFmt w:val="upperRoman"/>
      <w:lvlText w:val="%1."/>
      <w:lvlJc w:val="left"/>
      <w:pPr>
        <w:ind w:left="1080" w:hanging="720"/>
      </w:pPr>
      <w:rPr>
        <w:rFonts w:hint="default"/>
        <w:b/>
        <w:bCs/>
        <w:color w:val="000000" w:themeColor="text1"/>
      </w:rPr>
    </w:lvl>
    <w:lvl w:ilvl="1" w:tplc="88BC37A0">
      <w:start w:val="1"/>
      <w:numFmt w:val="decimal"/>
      <w:lvlText w:val="%2."/>
      <w:lvlJc w:val="left"/>
      <w:pPr>
        <w:ind w:left="1500" w:hanging="420"/>
      </w:pPr>
      <w:rPr>
        <w:rFonts w:hint="default"/>
      </w:rPr>
    </w:lvl>
    <w:lvl w:ilvl="2" w:tplc="E7B25B34">
      <w:start w:val="1"/>
      <w:numFmt w:val="lowerLetter"/>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9"/>
    <w:rsid w:val="0002491E"/>
    <w:rsid w:val="00025B1A"/>
    <w:rsid w:val="000B7218"/>
    <w:rsid w:val="001223BE"/>
    <w:rsid w:val="0013783E"/>
    <w:rsid w:val="00167A3A"/>
    <w:rsid w:val="001C539A"/>
    <w:rsid w:val="001F0D62"/>
    <w:rsid w:val="00213A99"/>
    <w:rsid w:val="00274F61"/>
    <w:rsid w:val="002B3FB6"/>
    <w:rsid w:val="002C7941"/>
    <w:rsid w:val="002F7EDF"/>
    <w:rsid w:val="00337BE1"/>
    <w:rsid w:val="00347D80"/>
    <w:rsid w:val="00373356"/>
    <w:rsid w:val="003C69D2"/>
    <w:rsid w:val="004071C5"/>
    <w:rsid w:val="00426308"/>
    <w:rsid w:val="004310A9"/>
    <w:rsid w:val="00436C6F"/>
    <w:rsid w:val="004D0599"/>
    <w:rsid w:val="004F6497"/>
    <w:rsid w:val="00542289"/>
    <w:rsid w:val="00553700"/>
    <w:rsid w:val="005874E7"/>
    <w:rsid w:val="00590911"/>
    <w:rsid w:val="005D7346"/>
    <w:rsid w:val="006357E7"/>
    <w:rsid w:val="006541BE"/>
    <w:rsid w:val="006576CA"/>
    <w:rsid w:val="00701219"/>
    <w:rsid w:val="00741EC4"/>
    <w:rsid w:val="00750604"/>
    <w:rsid w:val="00766AEA"/>
    <w:rsid w:val="00860B16"/>
    <w:rsid w:val="008C3440"/>
    <w:rsid w:val="008E056A"/>
    <w:rsid w:val="008F43F9"/>
    <w:rsid w:val="008F4BCC"/>
    <w:rsid w:val="0090450B"/>
    <w:rsid w:val="00913A79"/>
    <w:rsid w:val="009418E5"/>
    <w:rsid w:val="009A4565"/>
    <w:rsid w:val="009B079E"/>
    <w:rsid w:val="009F1046"/>
    <w:rsid w:val="00A2162E"/>
    <w:rsid w:val="00A465D2"/>
    <w:rsid w:val="00AC1163"/>
    <w:rsid w:val="00B54E44"/>
    <w:rsid w:val="00B704E9"/>
    <w:rsid w:val="00BB30BA"/>
    <w:rsid w:val="00BB642E"/>
    <w:rsid w:val="00BC3A03"/>
    <w:rsid w:val="00BD4034"/>
    <w:rsid w:val="00BE14B0"/>
    <w:rsid w:val="00BF12A8"/>
    <w:rsid w:val="00BF2019"/>
    <w:rsid w:val="00C03A48"/>
    <w:rsid w:val="00C47B65"/>
    <w:rsid w:val="00C67A45"/>
    <w:rsid w:val="00CF3FB5"/>
    <w:rsid w:val="00CF5DBD"/>
    <w:rsid w:val="00CF7CC5"/>
    <w:rsid w:val="00DA3866"/>
    <w:rsid w:val="00DD7E5C"/>
    <w:rsid w:val="00DE743A"/>
    <w:rsid w:val="00E402D2"/>
    <w:rsid w:val="00E83D93"/>
    <w:rsid w:val="00EB01B6"/>
    <w:rsid w:val="00EB5FFC"/>
    <w:rsid w:val="00F051F3"/>
    <w:rsid w:val="00F56E72"/>
    <w:rsid w:val="00F57D8E"/>
    <w:rsid w:val="00FF76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ABCC3"/>
  <w15:docId w15:val="{E187E5B9-2768-4A28-9A5A-260C990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4E9"/>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4E9"/>
  </w:style>
  <w:style w:type="paragraph" w:styleId="Footer">
    <w:name w:val="footer"/>
    <w:basedOn w:val="Normal"/>
    <w:link w:val="FooterChar"/>
    <w:uiPriority w:val="99"/>
    <w:unhideWhenUsed/>
    <w:rsid w:val="00B7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4E9"/>
  </w:style>
  <w:style w:type="character" w:customStyle="1" w:styleId="Heading1Char">
    <w:name w:val="Heading 1 Char"/>
    <w:basedOn w:val="DefaultParagraphFont"/>
    <w:link w:val="Heading1"/>
    <w:uiPriority w:val="9"/>
    <w:rsid w:val="00B704E9"/>
    <w:rPr>
      <w:rFonts w:asciiTheme="majorHAnsi" w:eastAsiaTheme="majorEastAsia" w:hAnsiTheme="majorHAnsi" w:cstheme="majorBidi"/>
      <w:color w:val="2E74B5" w:themeColor="accent1" w:themeShade="BF"/>
      <w:sz w:val="32"/>
      <w:szCs w:val="40"/>
    </w:rPr>
  </w:style>
  <w:style w:type="paragraph" w:styleId="FootnoteText">
    <w:name w:val="footnote text"/>
    <w:basedOn w:val="Normal"/>
    <w:link w:val="FootnoteTextChar"/>
    <w:uiPriority w:val="99"/>
    <w:semiHidden/>
    <w:unhideWhenUsed/>
    <w:rsid w:val="0090450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90450B"/>
    <w:rPr>
      <w:sz w:val="20"/>
      <w:szCs w:val="25"/>
    </w:rPr>
  </w:style>
  <w:style w:type="character" w:styleId="FootnoteReference">
    <w:name w:val="footnote reference"/>
    <w:basedOn w:val="DefaultParagraphFont"/>
    <w:uiPriority w:val="99"/>
    <w:semiHidden/>
    <w:unhideWhenUsed/>
    <w:rsid w:val="0090450B"/>
    <w:rPr>
      <w:vertAlign w:val="superscript"/>
    </w:rPr>
  </w:style>
  <w:style w:type="paragraph" w:styleId="BalloonText">
    <w:name w:val="Balloon Text"/>
    <w:basedOn w:val="Normal"/>
    <w:link w:val="BalloonTextChar"/>
    <w:uiPriority w:val="99"/>
    <w:semiHidden/>
    <w:unhideWhenUsed/>
    <w:rsid w:val="006357E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357E7"/>
    <w:rPr>
      <w:rFonts w:ascii="Tahoma" w:hAnsi="Tahoma" w:cs="Angsana New"/>
      <w:sz w:val="16"/>
      <w:szCs w:val="20"/>
    </w:rPr>
  </w:style>
  <w:style w:type="paragraph" w:styleId="ListParagraph">
    <w:name w:val="List Paragraph"/>
    <w:basedOn w:val="Normal"/>
    <w:uiPriority w:val="34"/>
    <w:qFormat/>
    <w:rsid w:val="0013783E"/>
    <w:pPr>
      <w:ind w:left="720"/>
      <w:contextualSpacing/>
    </w:pPr>
  </w:style>
  <w:style w:type="paragraph" w:styleId="Caption">
    <w:name w:val="caption"/>
    <w:basedOn w:val="Normal"/>
    <w:next w:val="Normal"/>
    <w:uiPriority w:val="35"/>
    <w:unhideWhenUsed/>
    <w:qFormat/>
    <w:rsid w:val="004D0599"/>
    <w:pPr>
      <w:spacing w:after="200" w:line="240" w:lineRule="auto"/>
    </w:pPr>
    <w:rPr>
      <w:i/>
      <w:iCs/>
      <w:color w:val="44546A" w:themeColor="text2"/>
      <w:sz w:val="18"/>
      <w:szCs w:val="22"/>
    </w:rPr>
  </w:style>
  <w:style w:type="character" w:styleId="Hyperlink">
    <w:name w:val="Hyperlink"/>
    <w:basedOn w:val="DefaultParagraphFont"/>
    <w:uiPriority w:val="99"/>
    <w:unhideWhenUsed/>
    <w:rsid w:val="001C539A"/>
    <w:rPr>
      <w:color w:val="0563C1" w:themeColor="hyperlink"/>
      <w:u w:val="single"/>
    </w:rPr>
  </w:style>
  <w:style w:type="paragraph" w:styleId="Bibliography">
    <w:name w:val="Bibliography"/>
    <w:basedOn w:val="Normal"/>
    <w:next w:val="Normal"/>
    <w:uiPriority w:val="37"/>
    <w:unhideWhenUsed/>
    <w:rsid w:val="00AC1163"/>
  </w:style>
  <w:style w:type="character" w:styleId="CommentReference">
    <w:name w:val="annotation reference"/>
    <w:basedOn w:val="DefaultParagraphFont"/>
    <w:uiPriority w:val="99"/>
    <w:semiHidden/>
    <w:unhideWhenUsed/>
    <w:rsid w:val="000B7218"/>
    <w:rPr>
      <w:sz w:val="16"/>
      <w:szCs w:val="16"/>
    </w:rPr>
  </w:style>
  <w:style w:type="paragraph" w:styleId="CommentText">
    <w:name w:val="annotation text"/>
    <w:basedOn w:val="Normal"/>
    <w:link w:val="CommentTextChar"/>
    <w:uiPriority w:val="99"/>
    <w:semiHidden/>
    <w:unhideWhenUsed/>
    <w:rsid w:val="000B7218"/>
    <w:pPr>
      <w:spacing w:line="240" w:lineRule="auto"/>
    </w:pPr>
    <w:rPr>
      <w:sz w:val="20"/>
      <w:szCs w:val="25"/>
    </w:rPr>
  </w:style>
  <w:style w:type="character" w:customStyle="1" w:styleId="CommentTextChar">
    <w:name w:val="Comment Text Char"/>
    <w:basedOn w:val="DefaultParagraphFont"/>
    <w:link w:val="CommentText"/>
    <w:uiPriority w:val="99"/>
    <w:semiHidden/>
    <w:rsid w:val="000B7218"/>
    <w:rPr>
      <w:sz w:val="20"/>
      <w:szCs w:val="25"/>
    </w:rPr>
  </w:style>
  <w:style w:type="paragraph" w:styleId="CommentSubject">
    <w:name w:val="annotation subject"/>
    <w:basedOn w:val="CommentText"/>
    <w:next w:val="CommentText"/>
    <w:link w:val="CommentSubjectChar"/>
    <w:uiPriority w:val="99"/>
    <w:semiHidden/>
    <w:unhideWhenUsed/>
    <w:rsid w:val="000B7218"/>
    <w:rPr>
      <w:b/>
      <w:bCs/>
    </w:rPr>
  </w:style>
  <w:style w:type="character" w:customStyle="1" w:styleId="CommentSubjectChar">
    <w:name w:val="Comment Subject Char"/>
    <w:basedOn w:val="CommentTextChar"/>
    <w:link w:val="CommentSubject"/>
    <w:uiPriority w:val="99"/>
    <w:semiHidden/>
    <w:rsid w:val="000B7218"/>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820">
      <w:bodyDiv w:val="1"/>
      <w:marLeft w:val="0"/>
      <w:marRight w:val="0"/>
      <w:marTop w:val="0"/>
      <w:marBottom w:val="0"/>
      <w:divBdr>
        <w:top w:val="none" w:sz="0" w:space="0" w:color="auto"/>
        <w:left w:val="none" w:sz="0" w:space="0" w:color="auto"/>
        <w:bottom w:val="none" w:sz="0" w:space="0" w:color="auto"/>
        <w:right w:val="none" w:sz="0" w:space="0" w:color="auto"/>
      </w:divBdr>
    </w:div>
    <w:div w:id="478956422">
      <w:bodyDiv w:val="1"/>
      <w:marLeft w:val="0"/>
      <w:marRight w:val="0"/>
      <w:marTop w:val="0"/>
      <w:marBottom w:val="0"/>
      <w:divBdr>
        <w:top w:val="none" w:sz="0" w:space="0" w:color="auto"/>
        <w:left w:val="none" w:sz="0" w:space="0" w:color="auto"/>
        <w:bottom w:val="none" w:sz="0" w:space="0" w:color="auto"/>
        <w:right w:val="none" w:sz="0" w:space="0" w:color="auto"/>
      </w:divBdr>
    </w:div>
    <w:div w:id="727193362">
      <w:bodyDiv w:val="1"/>
      <w:marLeft w:val="0"/>
      <w:marRight w:val="0"/>
      <w:marTop w:val="0"/>
      <w:marBottom w:val="0"/>
      <w:divBdr>
        <w:top w:val="none" w:sz="0" w:space="0" w:color="auto"/>
        <w:left w:val="none" w:sz="0" w:space="0" w:color="auto"/>
        <w:bottom w:val="none" w:sz="0" w:space="0" w:color="auto"/>
        <w:right w:val="none" w:sz="0" w:space="0" w:color="auto"/>
      </w:divBdr>
    </w:div>
    <w:div w:id="815145943">
      <w:bodyDiv w:val="1"/>
      <w:marLeft w:val="0"/>
      <w:marRight w:val="0"/>
      <w:marTop w:val="0"/>
      <w:marBottom w:val="0"/>
      <w:divBdr>
        <w:top w:val="none" w:sz="0" w:space="0" w:color="auto"/>
        <w:left w:val="none" w:sz="0" w:space="0" w:color="auto"/>
        <w:bottom w:val="none" w:sz="0" w:space="0" w:color="auto"/>
        <w:right w:val="none" w:sz="0" w:space="0" w:color="auto"/>
      </w:divBdr>
    </w:div>
    <w:div w:id="920216406">
      <w:bodyDiv w:val="1"/>
      <w:marLeft w:val="0"/>
      <w:marRight w:val="0"/>
      <w:marTop w:val="0"/>
      <w:marBottom w:val="0"/>
      <w:divBdr>
        <w:top w:val="none" w:sz="0" w:space="0" w:color="auto"/>
        <w:left w:val="none" w:sz="0" w:space="0" w:color="auto"/>
        <w:bottom w:val="none" w:sz="0" w:space="0" w:color="auto"/>
        <w:right w:val="none" w:sz="0" w:space="0" w:color="auto"/>
      </w:divBdr>
    </w:div>
    <w:div w:id="964896706">
      <w:bodyDiv w:val="1"/>
      <w:marLeft w:val="0"/>
      <w:marRight w:val="0"/>
      <w:marTop w:val="0"/>
      <w:marBottom w:val="0"/>
      <w:divBdr>
        <w:top w:val="none" w:sz="0" w:space="0" w:color="auto"/>
        <w:left w:val="none" w:sz="0" w:space="0" w:color="auto"/>
        <w:bottom w:val="none" w:sz="0" w:space="0" w:color="auto"/>
        <w:right w:val="none" w:sz="0" w:space="0" w:color="auto"/>
      </w:divBdr>
    </w:div>
    <w:div w:id="1619021871">
      <w:bodyDiv w:val="1"/>
      <w:marLeft w:val="0"/>
      <w:marRight w:val="0"/>
      <w:marTop w:val="0"/>
      <w:marBottom w:val="0"/>
      <w:divBdr>
        <w:top w:val="none" w:sz="0" w:space="0" w:color="auto"/>
        <w:left w:val="none" w:sz="0" w:space="0" w:color="auto"/>
        <w:bottom w:val="none" w:sz="0" w:space="0" w:color="auto"/>
        <w:right w:val="none" w:sz="0" w:space="0" w:color="auto"/>
      </w:divBdr>
    </w:div>
    <w:div w:id="1623154092">
      <w:bodyDiv w:val="1"/>
      <w:marLeft w:val="0"/>
      <w:marRight w:val="0"/>
      <w:marTop w:val="0"/>
      <w:marBottom w:val="0"/>
      <w:divBdr>
        <w:top w:val="none" w:sz="0" w:space="0" w:color="auto"/>
        <w:left w:val="none" w:sz="0" w:space="0" w:color="auto"/>
        <w:bottom w:val="none" w:sz="0" w:space="0" w:color="auto"/>
        <w:right w:val="none" w:sz="0" w:space="0" w:color="auto"/>
      </w:divBdr>
    </w:div>
    <w:div w:id="1626111162">
      <w:bodyDiv w:val="1"/>
      <w:marLeft w:val="0"/>
      <w:marRight w:val="0"/>
      <w:marTop w:val="0"/>
      <w:marBottom w:val="0"/>
      <w:divBdr>
        <w:top w:val="none" w:sz="0" w:space="0" w:color="auto"/>
        <w:left w:val="none" w:sz="0" w:space="0" w:color="auto"/>
        <w:bottom w:val="none" w:sz="0" w:space="0" w:color="auto"/>
        <w:right w:val="none" w:sz="0" w:space="0" w:color="auto"/>
      </w:divBdr>
    </w:div>
    <w:div w:id="2073190138">
      <w:bodyDiv w:val="1"/>
      <w:marLeft w:val="0"/>
      <w:marRight w:val="0"/>
      <w:marTop w:val="0"/>
      <w:marBottom w:val="0"/>
      <w:divBdr>
        <w:top w:val="none" w:sz="0" w:space="0" w:color="auto"/>
        <w:left w:val="none" w:sz="0" w:space="0" w:color="auto"/>
        <w:bottom w:val="none" w:sz="0" w:space="0" w:color="auto"/>
        <w:right w:val="none" w:sz="0" w:space="0" w:color="auto"/>
      </w:divBdr>
    </w:div>
    <w:div w:id="2076269480">
      <w:bodyDiv w:val="1"/>
      <w:marLeft w:val="0"/>
      <w:marRight w:val="0"/>
      <w:marTop w:val="0"/>
      <w:marBottom w:val="0"/>
      <w:divBdr>
        <w:top w:val="none" w:sz="0" w:space="0" w:color="auto"/>
        <w:left w:val="none" w:sz="0" w:space="0" w:color="auto"/>
        <w:bottom w:val="none" w:sz="0" w:space="0" w:color="auto"/>
        <w:right w:val="none" w:sz="0" w:space="0" w:color="auto"/>
      </w:divBdr>
    </w:div>
    <w:div w:id="20927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Kenan_Jidapa\Thai%20Government'17\OSMEP\ASEAN%20Financial%20Literacy%202017\Datadic_Revised%2010%20March%202016%20(2)_t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Kenan_Jidapa\Thai%20Government'17\OSMEP\ASEAN%20Financial%20Literacy%202017\Datadic_Revised%2010%20March%202016%20(2)_t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Kenan_Jidapa\Thai%20Government'17\OSMEP\ASEAN%20Financial%20Literacy%202017\Datadic_Revised%2010%20March%202016%20(2)_t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Kenan_Jidapa\Thai%20Government'17\OSMEP\ASEAN%20Financial%20Literacy%202017\Datadic_Revised%2010%20March%202016%20(2)_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chemeClr val="accent6"/>
              </a:solidFill>
            </c:spPr>
            <c:extLst>
              <c:ext xmlns:c16="http://schemas.microsoft.com/office/drawing/2014/chart" uri="{C3380CC4-5D6E-409C-BE32-E72D297353CC}">
                <c16:uniqueId val="{00000001-F2DD-4AF5-A22E-1AD8642730E5}"/>
              </c:ext>
            </c:extLst>
          </c:dPt>
          <c:dPt>
            <c:idx val="1"/>
            <c:bubble3D val="0"/>
            <c:spPr>
              <a:solidFill>
                <a:srgbClr val="FFC000"/>
              </a:solidFill>
            </c:spPr>
            <c:extLst>
              <c:ext xmlns:c16="http://schemas.microsoft.com/office/drawing/2014/chart" uri="{C3380CC4-5D6E-409C-BE32-E72D297353CC}">
                <c16:uniqueId val="{00000003-F2DD-4AF5-A22E-1AD8642730E5}"/>
              </c:ext>
            </c:extLst>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Analyse!$B$4:$C$4</c:f>
              <c:strCache>
                <c:ptCount val="2"/>
                <c:pt idx="0">
                  <c:v>Yes</c:v>
                </c:pt>
                <c:pt idx="1">
                  <c:v>No</c:v>
                </c:pt>
              </c:strCache>
            </c:strRef>
          </c:cat>
          <c:val>
            <c:numRef>
              <c:f>Analyse!$B$22:$C$22</c:f>
              <c:numCache>
                <c:formatCode>General</c:formatCode>
                <c:ptCount val="2"/>
                <c:pt idx="0">
                  <c:v>13</c:v>
                </c:pt>
                <c:pt idx="1">
                  <c:v>4</c:v>
                </c:pt>
              </c:numCache>
            </c:numRef>
          </c:val>
          <c:extLst>
            <c:ext xmlns:c16="http://schemas.microsoft.com/office/drawing/2014/chart" uri="{C3380CC4-5D6E-409C-BE32-E72D297353CC}">
              <c16:uniqueId val="{00000004-F2DD-4AF5-A22E-1AD8642730E5}"/>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chemeClr val="accent6"/>
              </a:solidFill>
            </c:spPr>
            <c:extLst>
              <c:ext xmlns:c16="http://schemas.microsoft.com/office/drawing/2014/chart" uri="{C3380CC4-5D6E-409C-BE32-E72D297353CC}">
                <c16:uniqueId val="{00000001-884F-4F72-9A20-25DC78B8B26F}"/>
              </c:ext>
            </c:extLst>
          </c:dPt>
          <c:dPt>
            <c:idx val="1"/>
            <c:bubble3D val="0"/>
            <c:spPr>
              <a:solidFill>
                <a:srgbClr val="FFC000"/>
              </a:solidFill>
            </c:spPr>
            <c:extLst>
              <c:ext xmlns:c16="http://schemas.microsoft.com/office/drawing/2014/chart" uri="{C3380CC4-5D6E-409C-BE32-E72D297353CC}">
                <c16:uniqueId val="{00000003-884F-4F72-9A20-25DC78B8B26F}"/>
              </c:ext>
            </c:extLst>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Analyse!$B$27:$C$27</c:f>
              <c:strCache>
                <c:ptCount val="2"/>
                <c:pt idx="0">
                  <c:v>Yes</c:v>
                </c:pt>
                <c:pt idx="1">
                  <c:v>No</c:v>
                </c:pt>
              </c:strCache>
            </c:strRef>
          </c:cat>
          <c:val>
            <c:numRef>
              <c:f>Analyse!$B$45:$C$45</c:f>
              <c:numCache>
                <c:formatCode>General</c:formatCode>
                <c:ptCount val="2"/>
                <c:pt idx="0">
                  <c:v>11</c:v>
                </c:pt>
                <c:pt idx="1">
                  <c:v>6</c:v>
                </c:pt>
              </c:numCache>
            </c:numRef>
          </c:val>
          <c:extLst>
            <c:ext xmlns:c16="http://schemas.microsoft.com/office/drawing/2014/chart" uri="{C3380CC4-5D6E-409C-BE32-E72D297353CC}">
              <c16:uniqueId val="{00000004-884F-4F72-9A20-25DC78B8B26F}"/>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chemeClr val="accent6"/>
              </a:solidFill>
            </c:spPr>
            <c:extLst>
              <c:ext xmlns:c16="http://schemas.microsoft.com/office/drawing/2014/chart" uri="{C3380CC4-5D6E-409C-BE32-E72D297353CC}">
                <c16:uniqueId val="{00000001-4E07-4E8F-B2C3-2ECABA76BD7E}"/>
              </c:ext>
            </c:extLst>
          </c:dPt>
          <c:dPt>
            <c:idx val="1"/>
            <c:bubble3D val="0"/>
            <c:spPr>
              <a:solidFill>
                <a:srgbClr val="FFC000"/>
              </a:solidFill>
            </c:spPr>
            <c:extLst>
              <c:ext xmlns:c16="http://schemas.microsoft.com/office/drawing/2014/chart" uri="{C3380CC4-5D6E-409C-BE32-E72D297353CC}">
                <c16:uniqueId val="{00000003-4E07-4E8F-B2C3-2ECABA76BD7E}"/>
              </c:ext>
            </c:extLst>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Analyse!$B$60:$C$60</c:f>
              <c:strCache>
                <c:ptCount val="2"/>
                <c:pt idx="0">
                  <c:v>Yes</c:v>
                </c:pt>
                <c:pt idx="1">
                  <c:v>No</c:v>
                </c:pt>
              </c:strCache>
            </c:strRef>
          </c:cat>
          <c:val>
            <c:numRef>
              <c:f>Analyse!$B$78:$C$78</c:f>
              <c:numCache>
                <c:formatCode>General</c:formatCode>
                <c:ptCount val="2"/>
                <c:pt idx="0">
                  <c:v>13</c:v>
                </c:pt>
                <c:pt idx="1">
                  <c:v>4</c:v>
                </c:pt>
              </c:numCache>
            </c:numRef>
          </c:val>
          <c:extLst>
            <c:ext xmlns:c16="http://schemas.microsoft.com/office/drawing/2014/chart" uri="{C3380CC4-5D6E-409C-BE32-E72D297353CC}">
              <c16:uniqueId val="{00000004-4E07-4E8F-B2C3-2ECABA76BD7E}"/>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chemeClr val="accent6"/>
              </a:solidFill>
            </c:spPr>
            <c:extLst>
              <c:ext xmlns:c16="http://schemas.microsoft.com/office/drawing/2014/chart" uri="{C3380CC4-5D6E-409C-BE32-E72D297353CC}">
                <c16:uniqueId val="{00000001-7EC3-4B90-AE70-097296458526}"/>
              </c:ext>
            </c:extLst>
          </c:dPt>
          <c:dPt>
            <c:idx val="1"/>
            <c:bubble3D val="0"/>
            <c:spPr>
              <a:solidFill>
                <a:srgbClr val="FFC000"/>
              </a:solidFill>
            </c:spPr>
            <c:extLst>
              <c:ext xmlns:c16="http://schemas.microsoft.com/office/drawing/2014/chart" uri="{C3380CC4-5D6E-409C-BE32-E72D297353CC}">
                <c16:uniqueId val="{00000003-7EC3-4B90-AE70-097296458526}"/>
              </c:ext>
            </c:extLst>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Analyse!$B$83:$C$83</c:f>
              <c:strCache>
                <c:ptCount val="2"/>
                <c:pt idx="0">
                  <c:v>Yes</c:v>
                </c:pt>
                <c:pt idx="1">
                  <c:v>No</c:v>
                </c:pt>
              </c:strCache>
            </c:strRef>
          </c:cat>
          <c:val>
            <c:numRef>
              <c:f>Analyse!$B$101:$C$101</c:f>
              <c:numCache>
                <c:formatCode>General</c:formatCode>
                <c:ptCount val="2"/>
                <c:pt idx="0">
                  <c:v>11</c:v>
                </c:pt>
                <c:pt idx="1">
                  <c:v>6</c:v>
                </c:pt>
              </c:numCache>
            </c:numRef>
          </c:val>
          <c:extLst>
            <c:ext xmlns:c16="http://schemas.microsoft.com/office/drawing/2014/chart" uri="{C3380CC4-5D6E-409C-BE32-E72D297353CC}">
              <c16:uniqueId val="{00000004-7EC3-4B90-AE70-097296458526}"/>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Eni14</b:Tag>
    <b:SourceType>JournalArticle</b:SourceType>
    <b:Guid>{ECB77E70-9498-4C27-B58A-38366D9F7E20}</b:Guid>
    <b:Title>SME firms performance in Nigeria: Competitive advantage and its impact</b:Title>
    <b:JournalName>International Journal of Research Studies in Management</b:JournalName>
    <b:Year>2014</b:Year>
    <b:Pages>75-86</b:Pages>
    <b:Author>
      <b:Author>
        <b:NameList>
          <b:Person>
            <b:Last>Eniola</b:Last>
            <b:Middle>Abiodun</b:Middle>
            <b:First>Anthony </b:First>
          </b:Person>
          <b:Person>
            <b:Last>Ektebang</b:Last>
            <b:First>Harry</b:First>
          </b:Person>
        </b:NameList>
      </b:Author>
    </b:Author>
    <b:LCID>en-US</b:LCID>
    <b:Month>August</b:Month>
    <b:Day>30 </b:Day>
    <b:Volume>3 </b:Volume>
    <b:Issue>2</b:Issue>
    <b:DOI>10.5861/ijrsm.2014.854</b:DOI>
    <b:RefOrder>1</b:RefOrder>
  </b:Source>
</b:Sources>
</file>

<file path=customXml/itemProps1.xml><?xml version="1.0" encoding="utf-8"?>
<ds:datastoreItem xmlns:ds="http://schemas.openxmlformats.org/officeDocument/2006/customXml" ds:itemID="{FA20DD68-AA49-478A-BEB9-0524B955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Narain Chutijirawong</cp:lastModifiedBy>
  <cp:revision>2</cp:revision>
  <cp:lastPrinted>2017-08-17T03:11:00Z</cp:lastPrinted>
  <dcterms:created xsi:type="dcterms:W3CDTF">2017-08-31T07:04:00Z</dcterms:created>
  <dcterms:modified xsi:type="dcterms:W3CDTF">2017-08-31T07:04:00Z</dcterms:modified>
</cp:coreProperties>
</file>