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C1" w:rsidRPr="006673BB" w:rsidRDefault="002106D2" w:rsidP="002106D2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</w:pPr>
      <w:r w:rsidRPr="006673BB">
        <w:rPr>
          <w:rFonts w:ascii="TH SarabunPSK" w:hAnsi="TH SarabunPSK" w:cs="TH SarabunPSK" w:hint="cs"/>
          <w:b/>
          <w:bCs/>
          <w:spacing w:val="-12"/>
          <w:sz w:val="40"/>
          <w:szCs w:val="40"/>
          <w:cs/>
        </w:rPr>
        <w:t xml:space="preserve">สถานการณ์ทางเศรษฐกิจที่อาจส่งผลกระทบต่อ </w:t>
      </w:r>
      <w:r w:rsidRPr="006673BB">
        <w:rPr>
          <w:rFonts w:ascii="TH SarabunPSK" w:hAnsi="TH SarabunPSK" w:cs="TH SarabunPSK"/>
          <w:b/>
          <w:bCs/>
          <w:spacing w:val="-12"/>
          <w:sz w:val="40"/>
          <w:szCs w:val="40"/>
        </w:rPr>
        <w:t xml:space="preserve">SMEs </w:t>
      </w:r>
      <w:r w:rsidRPr="006673BB">
        <w:rPr>
          <w:rFonts w:ascii="TH SarabunPSK" w:hAnsi="TH SarabunPSK" w:cs="TH SarabunPSK" w:hint="cs"/>
          <w:b/>
          <w:bCs/>
          <w:spacing w:val="-12"/>
          <w:sz w:val="40"/>
          <w:szCs w:val="40"/>
          <w:cs/>
        </w:rPr>
        <w:t>ในช่วงไตรมาสที่ 3 ของปี 2557</w:t>
      </w:r>
    </w:p>
    <w:p w:rsidR="004D07E5" w:rsidRDefault="004D07E5" w:rsidP="004D07E5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2106D2" w:rsidRDefault="002106D2" w:rsidP="002106D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06D2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เศรษฐกิจโลกและประเทศคู่ค้าสำคัญ</w:t>
      </w:r>
    </w:p>
    <w:p w:rsidR="00FD7C14" w:rsidRDefault="002106D2" w:rsidP="002106D2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D7C14">
        <w:rPr>
          <w:rFonts w:ascii="TH SarabunPSK" w:hAnsi="TH SarabunPSK" w:cs="TH SarabunPSK" w:hint="cs"/>
          <w:sz w:val="32"/>
          <w:szCs w:val="32"/>
          <w:cs/>
        </w:rPr>
        <w:t>เศรษฐกิจโลกในช่วงไตรมาสที่ 3 ของปี 2557 เริ่มฟื้นตัวและมีแนวโน้มขยายตัวต่อเนื่อง เป็นผลจากการขยายตัวของเศรษฐกิจสหรัฐฯ และกลุ่มสหภาพยุโรป ในขณะที่เศรษฐกิจของญี่ปุน, จีน และประเทศในอาเซียนมีแนวโน้มชะลอตัวลงเล็กน้อย</w:t>
      </w:r>
    </w:p>
    <w:p w:rsidR="00FD7C14" w:rsidRPr="00FD7C14" w:rsidRDefault="002106D2" w:rsidP="002106D2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D7C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เศรษฐกิจสหรัฐฯ </w:t>
      </w:r>
      <w:r w:rsidRPr="00FD7C14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="00F03246" w:rsidRPr="00FD7C14">
        <w:rPr>
          <w:rFonts w:ascii="TH SarabunPSK" w:hAnsi="TH SarabunPSK" w:cs="TH SarabunPSK" w:hint="cs"/>
          <w:spacing w:val="-4"/>
          <w:sz w:val="32"/>
          <w:szCs w:val="32"/>
          <w:cs/>
        </w:rPr>
        <w:t>การบริโภคภาคเอกชนที่ขยายตัวและการจ้างงานที่สูงขึ้น ทำให้เศรษฐกิจสหรัฐขยายตัวต่อเนื่อง แต่ยังคงต้องจับตาดูภายหลังสิ้นสุดระยะเวลาของมาตรการผ่อนปรนทางการเงิน (</w:t>
      </w:r>
      <w:r w:rsidR="00F03246" w:rsidRPr="00FD7C14">
        <w:rPr>
          <w:rFonts w:ascii="TH SarabunPSK" w:hAnsi="TH SarabunPSK" w:cs="TH SarabunPSK"/>
          <w:spacing w:val="-4"/>
          <w:sz w:val="32"/>
          <w:szCs w:val="32"/>
        </w:rPr>
        <w:t>QE</w:t>
      </w:r>
      <w:r w:rsidR="00F03246" w:rsidRPr="00FD7C14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F03246" w:rsidRPr="00FD7C1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03246" w:rsidRPr="00FD7C14">
        <w:rPr>
          <w:rFonts w:ascii="TH SarabunPSK" w:hAnsi="TH SarabunPSK" w:cs="TH SarabunPSK" w:hint="cs"/>
          <w:spacing w:val="-4"/>
          <w:sz w:val="32"/>
          <w:szCs w:val="32"/>
          <w:cs/>
        </w:rPr>
        <w:t>ในเดือน ต.ค. นี้</w:t>
      </w:r>
    </w:p>
    <w:p w:rsidR="00FD7C14" w:rsidRDefault="00F03246" w:rsidP="00F86CAA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D7C14">
        <w:rPr>
          <w:rFonts w:ascii="TH SarabunPSK" w:hAnsi="TH SarabunPSK" w:cs="TH SarabunPSK" w:hint="cs"/>
          <w:sz w:val="32"/>
          <w:szCs w:val="32"/>
          <w:cs/>
        </w:rPr>
        <w:t xml:space="preserve">เศรษฐกิจสหภาพยุโรป </w:t>
      </w:r>
      <w:r w:rsidRPr="00FD7C14">
        <w:rPr>
          <w:rFonts w:ascii="TH SarabunPSK" w:hAnsi="TH SarabunPSK" w:cs="TH SarabunPSK"/>
          <w:sz w:val="32"/>
          <w:szCs w:val="32"/>
        </w:rPr>
        <w:t xml:space="preserve">: </w:t>
      </w:r>
      <w:r w:rsidRPr="00FD7C14">
        <w:rPr>
          <w:rFonts w:ascii="TH SarabunPSK" w:hAnsi="TH SarabunPSK" w:cs="TH SarabunPSK" w:hint="cs"/>
          <w:sz w:val="32"/>
          <w:szCs w:val="32"/>
          <w:cs/>
        </w:rPr>
        <w:t>เศรษฐกิจของสหภาพยุโรปมีการขยายตัวติดต่อกันถึง 4 ไตรมาส เป็นผลจากการบริโภคที่ฟื้นตัว</w:t>
      </w:r>
      <w:r w:rsidR="00F86CAA" w:rsidRPr="00FD7C14">
        <w:rPr>
          <w:rFonts w:ascii="TH SarabunPSK" w:hAnsi="TH SarabunPSK" w:cs="TH SarabunPSK" w:hint="cs"/>
          <w:sz w:val="32"/>
          <w:szCs w:val="32"/>
          <w:cs/>
        </w:rPr>
        <w:t xml:space="preserve"> แต่ยังคงมีความเสี่ยงต่อภาวะเงินฝืด ธนาคารกลางยุโรป (</w:t>
      </w:r>
      <w:r w:rsidR="00F86CAA" w:rsidRPr="00FD7C14">
        <w:rPr>
          <w:rFonts w:ascii="TH SarabunPSK" w:hAnsi="TH SarabunPSK" w:cs="TH SarabunPSK"/>
          <w:sz w:val="32"/>
          <w:szCs w:val="32"/>
        </w:rPr>
        <w:t>E</w:t>
      </w:r>
      <w:r w:rsidR="001E1664">
        <w:rPr>
          <w:rFonts w:ascii="TH SarabunPSK" w:hAnsi="TH SarabunPSK" w:cs="TH SarabunPSK"/>
          <w:sz w:val="32"/>
          <w:szCs w:val="32"/>
        </w:rPr>
        <w:t xml:space="preserve">uropean </w:t>
      </w:r>
      <w:r w:rsidR="00F86CAA" w:rsidRPr="00FD7C14">
        <w:rPr>
          <w:rFonts w:ascii="TH SarabunPSK" w:hAnsi="TH SarabunPSK" w:cs="TH SarabunPSK"/>
          <w:sz w:val="32"/>
          <w:szCs w:val="32"/>
        </w:rPr>
        <w:t>C</w:t>
      </w:r>
      <w:r w:rsidR="001E1664">
        <w:rPr>
          <w:rFonts w:ascii="TH SarabunPSK" w:hAnsi="TH SarabunPSK" w:cs="TH SarabunPSK"/>
          <w:sz w:val="32"/>
          <w:szCs w:val="32"/>
        </w:rPr>
        <w:t xml:space="preserve">entral </w:t>
      </w:r>
      <w:r w:rsidR="00F86CAA" w:rsidRPr="00FD7C14">
        <w:rPr>
          <w:rFonts w:ascii="TH SarabunPSK" w:hAnsi="TH SarabunPSK" w:cs="TH SarabunPSK"/>
          <w:sz w:val="32"/>
          <w:szCs w:val="32"/>
        </w:rPr>
        <w:t>B</w:t>
      </w:r>
      <w:r w:rsidR="001E1664">
        <w:rPr>
          <w:rFonts w:ascii="TH SarabunPSK" w:hAnsi="TH SarabunPSK" w:cs="TH SarabunPSK"/>
          <w:sz w:val="32"/>
          <w:szCs w:val="32"/>
        </w:rPr>
        <w:t>ank : ECB</w:t>
      </w:r>
      <w:r w:rsidR="00F86CAA" w:rsidRPr="00FD7C14">
        <w:rPr>
          <w:rFonts w:ascii="TH SarabunPSK" w:hAnsi="TH SarabunPSK" w:cs="TH SarabunPSK" w:hint="cs"/>
          <w:sz w:val="32"/>
          <w:szCs w:val="32"/>
          <w:cs/>
        </w:rPr>
        <w:t>) จึงต้องใช้มาตรการผ่อนปรนทางการเงินเพื่อรักษาระดับอัตราเงินเฟ้อและกระตุ้นเศรษฐกิจ</w:t>
      </w:r>
    </w:p>
    <w:p w:rsidR="00FD7C14" w:rsidRDefault="00F86CAA" w:rsidP="00095FCA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D7C14">
        <w:rPr>
          <w:rFonts w:ascii="TH SarabunPSK" w:hAnsi="TH SarabunPSK" w:cs="TH SarabunPSK" w:hint="cs"/>
          <w:sz w:val="32"/>
          <w:szCs w:val="32"/>
          <w:cs/>
        </w:rPr>
        <w:t xml:space="preserve">เศรษฐกิจญี่ปุ่น </w:t>
      </w:r>
      <w:r w:rsidRPr="00FD7C14">
        <w:rPr>
          <w:rFonts w:ascii="TH SarabunPSK" w:hAnsi="TH SarabunPSK" w:cs="TH SarabunPSK"/>
          <w:sz w:val="32"/>
          <w:szCs w:val="32"/>
        </w:rPr>
        <w:t xml:space="preserve">: </w:t>
      </w:r>
      <w:r w:rsidRPr="00FD7C14">
        <w:rPr>
          <w:rFonts w:ascii="TH SarabunPSK" w:hAnsi="TH SarabunPSK" w:cs="TH SarabunPSK" w:hint="cs"/>
          <w:sz w:val="32"/>
          <w:szCs w:val="32"/>
          <w:cs/>
        </w:rPr>
        <w:t>การใช้จ่ายภาคครัวเรือนและการส่งออกที่ชะลอตัวลง ส่งผลให้เศรษฐกิจของญี่ปุ่นใน ไตรมาสที่ 3 ของปี 2557 มีแน้วโน้มชะลอตัว</w:t>
      </w:r>
    </w:p>
    <w:p w:rsidR="00FD7C14" w:rsidRDefault="00F86CAA" w:rsidP="00095FCA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D7C14">
        <w:rPr>
          <w:rFonts w:ascii="TH SarabunPSK" w:hAnsi="TH SarabunPSK" w:cs="TH SarabunPSK" w:hint="cs"/>
          <w:sz w:val="32"/>
          <w:szCs w:val="32"/>
          <w:cs/>
        </w:rPr>
        <w:t xml:space="preserve">เศรษฐกิจจีน </w:t>
      </w:r>
      <w:r w:rsidRPr="00FD7C14">
        <w:rPr>
          <w:rFonts w:ascii="TH SarabunPSK" w:hAnsi="TH SarabunPSK" w:cs="TH SarabunPSK"/>
          <w:sz w:val="32"/>
          <w:szCs w:val="32"/>
        </w:rPr>
        <w:t xml:space="preserve">: </w:t>
      </w:r>
      <w:r w:rsidR="00095FCA" w:rsidRPr="00FD7C14">
        <w:rPr>
          <w:rFonts w:ascii="TH SarabunPSK" w:hAnsi="TH SarabunPSK" w:cs="TH SarabunPSK" w:hint="cs"/>
          <w:sz w:val="32"/>
          <w:szCs w:val="32"/>
          <w:cs/>
        </w:rPr>
        <w:t>ยังคงขยายตัวได้อย่างต่อจาก</w:t>
      </w:r>
      <w:r w:rsidRPr="00FD7C14">
        <w:rPr>
          <w:rFonts w:ascii="TH SarabunPSK" w:hAnsi="TH SarabunPSK" w:cs="TH SarabunPSK" w:hint="cs"/>
          <w:sz w:val="32"/>
          <w:szCs w:val="32"/>
          <w:cs/>
        </w:rPr>
        <w:t>การส่งออก</w:t>
      </w:r>
      <w:r w:rsidR="00095FCA" w:rsidRPr="00FD7C14">
        <w:rPr>
          <w:rFonts w:ascii="TH SarabunPSK" w:hAnsi="TH SarabunPSK" w:cs="TH SarabunPSK" w:hint="cs"/>
          <w:sz w:val="32"/>
          <w:szCs w:val="32"/>
          <w:cs/>
        </w:rPr>
        <w:t>ที่ขยายตัว</w:t>
      </w:r>
      <w:r w:rsidRPr="00FD7C14">
        <w:rPr>
          <w:rFonts w:ascii="TH SarabunPSK" w:hAnsi="TH SarabunPSK" w:cs="TH SarabunPSK" w:hint="cs"/>
          <w:sz w:val="32"/>
          <w:szCs w:val="32"/>
          <w:cs/>
        </w:rPr>
        <w:t xml:space="preserve"> เป็นผลมาจากการฟื้นตัวของเศรษฐกิจโลก โดยเฉพาะสหรัฐฯและสหภาพยุโรป</w:t>
      </w:r>
    </w:p>
    <w:p w:rsidR="002106D2" w:rsidRPr="00FD7C14" w:rsidRDefault="00095FCA" w:rsidP="00095FCA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D7C14">
        <w:rPr>
          <w:rFonts w:ascii="TH SarabunPSK" w:hAnsi="TH SarabunPSK" w:cs="TH SarabunPSK" w:hint="cs"/>
          <w:sz w:val="32"/>
          <w:szCs w:val="32"/>
          <w:cs/>
        </w:rPr>
        <w:t xml:space="preserve">เศรษฐกิจอาเซียน </w:t>
      </w:r>
      <w:r w:rsidRPr="00FD7C14">
        <w:rPr>
          <w:rFonts w:ascii="TH SarabunPSK" w:hAnsi="TH SarabunPSK" w:cs="TH SarabunPSK"/>
          <w:sz w:val="32"/>
          <w:szCs w:val="32"/>
        </w:rPr>
        <w:t xml:space="preserve">: </w:t>
      </w:r>
      <w:r w:rsidRPr="00FD7C14">
        <w:rPr>
          <w:rFonts w:ascii="TH SarabunPSK" w:hAnsi="TH SarabunPSK" w:cs="TH SarabunPSK" w:hint="cs"/>
          <w:sz w:val="32"/>
          <w:szCs w:val="32"/>
          <w:cs/>
        </w:rPr>
        <w:t>เศรษฐกิจในภาพรวมยังคงชะลอตัวเป</w:t>
      </w:r>
      <w:r w:rsidR="002E5EF5">
        <w:rPr>
          <w:rFonts w:ascii="TH SarabunPSK" w:hAnsi="TH SarabunPSK" w:cs="TH SarabunPSK" w:hint="cs"/>
          <w:sz w:val="32"/>
          <w:szCs w:val="32"/>
          <w:cs/>
        </w:rPr>
        <w:t>็นผลมาจากการส่งออก มีเพียงประเทศ</w:t>
      </w:r>
      <w:r w:rsidRPr="00FD7C14">
        <w:rPr>
          <w:rFonts w:ascii="TH SarabunPSK" w:hAnsi="TH SarabunPSK" w:cs="TH SarabunPSK" w:hint="cs"/>
          <w:sz w:val="32"/>
          <w:szCs w:val="32"/>
          <w:cs/>
        </w:rPr>
        <w:t>มาเลเซียที่มีการขยายตัว แต่ก็มีแนวโน้มที่ดีขึ้นในช่วงครึ่งปีหลัง ปี 2557 เนื่องจากการฟื้นตัวของเศรษฐกิจโลก</w:t>
      </w:r>
    </w:p>
    <w:p w:rsidR="00095FCA" w:rsidRDefault="00095FCA" w:rsidP="00095F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5FCA" w:rsidRDefault="00095FCA" w:rsidP="00095FC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FC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อัตราดอกเบี้ย</w:t>
      </w:r>
    </w:p>
    <w:p w:rsidR="00EA4717" w:rsidRDefault="00095FCA" w:rsidP="00095F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จากการที่เศรษฐกิจของประเทศมีแนวโน้มที่ดีขึ้น</w:t>
      </w:r>
      <w:r w:rsidR="00233950">
        <w:rPr>
          <w:rFonts w:ascii="TH SarabunPSK" w:hAnsi="TH SarabunPSK" w:cs="TH SarabunPSK" w:hint="cs"/>
          <w:sz w:val="32"/>
          <w:szCs w:val="32"/>
          <w:cs/>
        </w:rPr>
        <w:t xml:space="preserve"> ภาย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EA4717">
        <w:rPr>
          <w:rFonts w:ascii="TH SarabunPSK" w:hAnsi="TH SarabunPSK" w:cs="TH SarabunPSK" w:hint="cs"/>
          <w:sz w:val="32"/>
          <w:szCs w:val="32"/>
          <w:cs/>
        </w:rPr>
        <w:t>ลังจาก</w:t>
      </w:r>
      <w:r w:rsidR="00233950">
        <w:rPr>
          <w:rFonts w:ascii="TH SarabunPSK" w:hAnsi="TH SarabunPSK" w:cs="TH SarabunPSK" w:hint="cs"/>
          <w:sz w:val="32"/>
          <w:szCs w:val="32"/>
          <w:cs/>
        </w:rPr>
        <w:t>สถานการณ์ทางการเมือง</w:t>
      </w:r>
      <w:r w:rsidR="00EA4717">
        <w:rPr>
          <w:rFonts w:ascii="TH SarabunPSK" w:hAnsi="TH SarabunPSK" w:cs="TH SarabunPSK" w:hint="cs"/>
          <w:sz w:val="32"/>
          <w:szCs w:val="32"/>
          <w:cs/>
        </w:rPr>
        <w:t>คลี่คลาย การบริโภคและการส่งออกที่เริ่มฟื้นตัว ทำให้ธนาคารแห่งประเทศไทยยังคงระดับอัตราดอกเบี้ยนโยบายไว้ที่ 2</w:t>
      </w:r>
      <w:r w:rsidR="00EA4717">
        <w:rPr>
          <w:rFonts w:ascii="TH SarabunPSK" w:hAnsi="TH SarabunPSK" w:cs="TH SarabunPSK"/>
          <w:sz w:val="32"/>
          <w:szCs w:val="32"/>
        </w:rPr>
        <w:t xml:space="preserve">% </w:t>
      </w:r>
      <w:r w:rsidR="00EA4717">
        <w:rPr>
          <w:rFonts w:ascii="TH SarabunPSK" w:hAnsi="TH SarabunPSK" w:cs="TH SarabunPSK" w:hint="cs"/>
          <w:sz w:val="32"/>
          <w:szCs w:val="32"/>
          <w:cs/>
        </w:rPr>
        <w:t>เพื่อกระตุ้นเศรษฐกิจและรักษาสเถียรภาพทางการเงินของประเทศ</w:t>
      </w:r>
    </w:p>
    <w:p w:rsidR="00EA4717" w:rsidRDefault="00EA4717" w:rsidP="00095F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106D2" w:rsidRPr="00EA4717" w:rsidRDefault="00EA4717" w:rsidP="00EA4717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4717">
        <w:rPr>
          <w:rFonts w:ascii="TH SarabunPSK" w:hAnsi="TH SarabunPSK" w:cs="TH SarabunPSK" w:hint="cs"/>
          <w:b/>
          <w:bCs/>
          <w:sz w:val="32"/>
          <w:szCs w:val="32"/>
          <w:cs/>
        </w:rPr>
        <w:t>ราคาน้ำมัน</w:t>
      </w:r>
    </w:p>
    <w:p w:rsidR="00A86D83" w:rsidRDefault="00EA4717" w:rsidP="00A86D8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ราคาน้ำมันช่วงไตรมาสที่ 3 ของปี 2557 มีแนวโน้มลดลง</w:t>
      </w:r>
      <w:r w:rsidR="00A86D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แต่จากสถานการณ์ความไม่สงบในประเทศอิรัก</w:t>
      </w:r>
      <w:r w:rsidR="00A86D83">
        <w:rPr>
          <w:rFonts w:ascii="TH SarabunPSK" w:hAnsi="TH SarabunPSK" w:cs="TH SarabunPSK" w:hint="cs"/>
          <w:sz w:val="32"/>
          <w:szCs w:val="32"/>
          <w:cs/>
        </w:rPr>
        <w:t>อาจส่งผลให้ราคาน้ำมันสูงขึ้นได้ แต่เพียงเล็กน้อยเท่านั้นเนื่องจากอุปทานน้ำมันโลกยังคงมีปริมาณมาก</w:t>
      </w:r>
    </w:p>
    <w:p w:rsidR="00A86D83" w:rsidRDefault="00A86D83" w:rsidP="00A86D8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A86D83" w:rsidRPr="00A86D83" w:rsidRDefault="00A86D83" w:rsidP="00A86D8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6D83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อัตราแลกเปลี่ยนเงินสกุลสำคัญ</w:t>
      </w:r>
    </w:p>
    <w:p w:rsidR="00FD7C14" w:rsidRDefault="00A86D83" w:rsidP="00FD7C14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D7C14">
        <w:rPr>
          <w:rFonts w:ascii="TH SarabunPSK" w:hAnsi="TH SarabunPSK" w:cs="TH SarabunPSK" w:hint="cs"/>
          <w:sz w:val="32"/>
          <w:szCs w:val="32"/>
          <w:cs/>
        </w:rPr>
        <w:t>สกุลยูโร (</w:t>
      </w:r>
      <w:r w:rsidRPr="00FD7C14">
        <w:rPr>
          <w:rFonts w:ascii="TH SarabunPSK" w:hAnsi="TH SarabunPSK" w:cs="TH SarabunPSK"/>
          <w:sz w:val="32"/>
          <w:szCs w:val="32"/>
        </w:rPr>
        <w:t>EUR</w:t>
      </w:r>
      <w:r w:rsidRPr="00FD7C1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D7C14">
        <w:rPr>
          <w:rFonts w:ascii="TH SarabunPSK" w:hAnsi="TH SarabunPSK" w:cs="TH SarabunPSK"/>
          <w:sz w:val="32"/>
          <w:szCs w:val="32"/>
        </w:rPr>
        <w:t xml:space="preserve">: </w:t>
      </w:r>
      <w:r w:rsidR="004D07E5" w:rsidRPr="00FD7C14">
        <w:rPr>
          <w:rFonts w:ascii="TH SarabunPSK" w:hAnsi="TH SarabunPSK" w:cs="TH SarabunPSK" w:hint="cs"/>
          <w:sz w:val="32"/>
          <w:szCs w:val="32"/>
          <w:cs/>
        </w:rPr>
        <w:t>จากการที่เศรษฐกิจของสหภาพยุโรปหรือยูโรโซน</w:t>
      </w:r>
      <w:r w:rsidR="00F819A3" w:rsidRPr="00FD7C14">
        <w:rPr>
          <w:rFonts w:ascii="TH SarabunPSK" w:hAnsi="TH SarabunPSK" w:cs="TH SarabunPSK" w:hint="cs"/>
          <w:sz w:val="32"/>
          <w:szCs w:val="32"/>
          <w:cs/>
        </w:rPr>
        <w:t>เกิดความเสี่ยงต่อภาวะเงินฝืด เนื่องจาก</w:t>
      </w:r>
      <w:r w:rsidR="00421F2C" w:rsidRPr="00FD7C14">
        <w:rPr>
          <w:rFonts w:ascii="TH SarabunPSK" w:hAnsi="TH SarabunPSK" w:cs="TH SarabunPSK" w:hint="cs"/>
          <w:sz w:val="32"/>
          <w:szCs w:val="32"/>
          <w:cs/>
        </w:rPr>
        <w:t>อัตราเงินเฟ้อที่ลดลงอย่างต่อเนื่องและการปล่อยสินเชื่อของธนาคารพาณิชย์ที่อยู่ในระดับต่ำ  ธนาคารกลางยุโรป (</w:t>
      </w:r>
      <w:r w:rsidR="00421F2C" w:rsidRPr="00FD7C14">
        <w:rPr>
          <w:rFonts w:ascii="TH SarabunPSK" w:hAnsi="TH SarabunPSK" w:cs="TH SarabunPSK"/>
          <w:sz w:val="32"/>
          <w:szCs w:val="32"/>
        </w:rPr>
        <w:t>European Central Bank : ECB</w:t>
      </w:r>
      <w:r w:rsidR="00421F2C" w:rsidRPr="00FD7C14">
        <w:rPr>
          <w:rFonts w:ascii="TH SarabunPSK" w:hAnsi="TH SarabunPSK" w:cs="TH SarabunPSK" w:hint="cs"/>
          <w:sz w:val="32"/>
          <w:szCs w:val="32"/>
          <w:cs/>
        </w:rPr>
        <w:t>) จึงได้ออกมาตรการเพื่อแก้ไขปัญหาดังกล่าว โดยลดอัตราดอกเบี้ยนโยบายเพื่อกระตุ้นให้ธนาคารปล่อยสินเชื่อให้กับภาคครัวเรื่อนและธุรกิจมากขึ้น เริ่มตั้งแต่เดือนมิถุนายน 2557 เป็นต้นมาส่งผลให้ค่าเงินยูโรอ่อนค่าลง</w:t>
      </w:r>
      <w:r w:rsidR="00152912" w:rsidRPr="00FD7C14">
        <w:rPr>
          <w:rFonts w:ascii="TH SarabunPSK" w:hAnsi="TH SarabunPSK" w:cs="TH SarabunPSK" w:hint="cs"/>
          <w:sz w:val="32"/>
          <w:szCs w:val="32"/>
          <w:cs/>
        </w:rPr>
        <w:t xml:space="preserve">เมื่อเทียบกับ </w:t>
      </w:r>
      <w:r w:rsidR="00152912" w:rsidRPr="00FD7C14">
        <w:rPr>
          <w:rFonts w:ascii="TH SarabunPSK" w:hAnsi="TH SarabunPSK" w:cs="TH SarabunPSK"/>
          <w:sz w:val="32"/>
          <w:szCs w:val="32"/>
        </w:rPr>
        <w:t xml:space="preserve">USD </w:t>
      </w:r>
      <w:r w:rsidR="00421F2C" w:rsidRPr="00FD7C14">
        <w:rPr>
          <w:rFonts w:ascii="TH SarabunPSK" w:hAnsi="TH SarabunPSK" w:cs="TH SarabunPSK" w:hint="cs"/>
          <w:sz w:val="32"/>
          <w:szCs w:val="32"/>
          <w:cs/>
        </w:rPr>
        <w:t>จน</w:t>
      </w:r>
      <w:r w:rsidR="00436EB3" w:rsidRPr="00FD7C14">
        <w:rPr>
          <w:rFonts w:ascii="TH SarabunPSK" w:hAnsi="TH SarabunPSK" w:cs="TH SarabunPSK" w:hint="cs"/>
          <w:sz w:val="32"/>
          <w:szCs w:val="32"/>
          <w:cs/>
        </w:rPr>
        <w:t>กระทั่ง</w:t>
      </w:r>
      <w:r w:rsidR="00152912" w:rsidRPr="00FD7C14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421F2C" w:rsidRPr="00FD7C14">
        <w:rPr>
          <w:rFonts w:ascii="TH SarabunPSK" w:hAnsi="TH SarabunPSK" w:cs="TH SarabunPSK" w:hint="cs"/>
          <w:sz w:val="32"/>
          <w:szCs w:val="32"/>
          <w:cs/>
        </w:rPr>
        <w:t xml:space="preserve">อยู่ที่ระดับต่ำกว่า 1.30 </w:t>
      </w:r>
      <w:r w:rsidR="00421F2C" w:rsidRPr="00FD7C14">
        <w:rPr>
          <w:rFonts w:ascii="TH SarabunPSK" w:hAnsi="TH SarabunPSK" w:cs="TH SarabunPSK"/>
          <w:sz w:val="32"/>
          <w:szCs w:val="32"/>
        </w:rPr>
        <w:t xml:space="preserve">USD </w:t>
      </w:r>
      <w:r w:rsidR="00421F2C" w:rsidRPr="00FD7C1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152912" w:rsidRPr="00FD7C14">
        <w:rPr>
          <w:rFonts w:ascii="TH SarabunPSK" w:hAnsi="TH SarabunPSK" w:cs="TH SarabunPSK" w:hint="cs"/>
          <w:sz w:val="32"/>
          <w:szCs w:val="32"/>
          <w:cs/>
        </w:rPr>
        <w:t>ยูโร</w:t>
      </w:r>
    </w:p>
    <w:p w:rsidR="00FD7C14" w:rsidRDefault="00A86D83" w:rsidP="00FD7C14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D7C14">
        <w:rPr>
          <w:rFonts w:ascii="TH SarabunPSK" w:hAnsi="TH SarabunPSK" w:cs="TH SarabunPSK" w:hint="cs"/>
          <w:sz w:val="32"/>
          <w:szCs w:val="32"/>
          <w:cs/>
        </w:rPr>
        <w:t>สกุลดอลล่าห์สหรัฐ (</w:t>
      </w:r>
      <w:r w:rsidRPr="00FD7C14">
        <w:rPr>
          <w:rFonts w:ascii="TH SarabunPSK" w:hAnsi="TH SarabunPSK" w:cs="TH SarabunPSK"/>
          <w:sz w:val="32"/>
          <w:szCs w:val="32"/>
        </w:rPr>
        <w:t>USD</w:t>
      </w:r>
      <w:r w:rsidRPr="00FD7C1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D7C14">
        <w:rPr>
          <w:rFonts w:ascii="TH SarabunPSK" w:hAnsi="TH SarabunPSK" w:cs="TH SarabunPSK"/>
          <w:sz w:val="32"/>
          <w:szCs w:val="32"/>
        </w:rPr>
        <w:t xml:space="preserve">: </w:t>
      </w:r>
      <w:r w:rsidRPr="00FD7C14">
        <w:rPr>
          <w:rFonts w:ascii="TH SarabunPSK" w:hAnsi="TH SarabunPSK" w:cs="TH SarabunPSK" w:hint="cs"/>
          <w:sz w:val="32"/>
          <w:szCs w:val="32"/>
          <w:cs/>
        </w:rPr>
        <w:t xml:space="preserve">มีแนวโน้มอ่อนค่าลงเล็กน้อยในไตรมาสที่ 3 อยู่ที่ระดับ 31-32 บาทต่อ </w:t>
      </w:r>
      <w:r w:rsidR="00FD7C14">
        <w:rPr>
          <w:rFonts w:ascii="TH SarabunPSK" w:hAnsi="TH SarabunPSK" w:cs="TH SarabunPSK"/>
          <w:sz w:val="32"/>
          <w:szCs w:val="32"/>
        </w:rPr>
        <w:t>US</w:t>
      </w:r>
    </w:p>
    <w:p w:rsidR="00E513AF" w:rsidRPr="00FD7C14" w:rsidRDefault="00A86D83" w:rsidP="00FD7C14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D7C14">
        <w:rPr>
          <w:rFonts w:ascii="TH SarabunPSK" w:hAnsi="TH SarabunPSK" w:cs="TH SarabunPSK" w:hint="cs"/>
          <w:sz w:val="32"/>
          <w:szCs w:val="32"/>
          <w:cs/>
        </w:rPr>
        <w:t>สกุลเยน (</w:t>
      </w:r>
      <w:r w:rsidRPr="00FD7C14">
        <w:rPr>
          <w:rFonts w:ascii="TH SarabunPSK" w:hAnsi="TH SarabunPSK" w:cs="TH SarabunPSK"/>
          <w:sz w:val="32"/>
          <w:szCs w:val="32"/>
        </w:rPr>
        <w:t>JPY</w:t>
      </w:r>
      <w:r w:rsidRPr="00FD7C1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D7C14">
        <w:rPr>
          <w:rFonts w:ascii="TH SarabunPSK" w:hAnsi="TH SarabunPSK" w:cs="TH SarabunPSK"/>
          <w:sz w:val="32"/>
          <w:szCs w:val="32"/>
        </w:rPr>
        <w:t xml:space="preserve">: </w:t>
      </w:r>
      <w:r w:rsidRPr="00FD7C14">
        <w:rPr>
          <w:rFonts w:ascii="TH SarabunPSK" w:hAnsi="TH SarabunPSK" w:cs="TH SarabunPSK" w:hint="cs"/>
          <w:sz w:val="32"/>
          <w:szCs w:val="32"/>
          <w:cs/>
        </w:rPr>
        <w:t>มีแนวโน้มอ่อนค่าลงเช่นเดียวกับเงินสกุลหลักอื่นๆ เนื่องจากการใช้มาตรการทางการเงินที่ผ่อนปรนเพื่อกระตุ้นเศรษฐกิจภายในประเทศ</w:t>
      </w:r>
      <w:r w:rsidR="00E513AF" w:rsidRPr="00FD7C14">
        <w:rPr>
          <w:rFonts w:ascii="TH SarabunPSK" w:hAnsi="TH SarabunPSK" w:cs="TH SarabunPSK" w:hint="cs"/>
          <w:sz w:val="32"/>
          <w:szCs w:val="32"/>
          <w:cs/>
        </w:rPr>
        <w:t xml:space="preserve"> ทำให้อัตราดอกเบี้ยยังคงอยู่ในระดับต่ำ</w:t>
      </w:r>
    </w:p>
    <w:p w:rsidR="007F31B0" w:rsidRDefault="007F31B0" w:rsidP="007F31B0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-166370</wp:posOffset>
            </wp:positionV>
            <wp:extent cx="3602990" cy="2517775"/>
            <wp:effectExtent l="0" t="0" r="0" b="0"/>
            <wp:wrapNone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F31B0" w:rsidRDefault="007F31B0" w:rsidP="007F31B0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7F31B0" w:rsidRDefault="007F31B0" w:rsidP="007F31B0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7F31B0" w:rsidRDefault="007F31B0" w:rsidP="007F31B0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:rsidR="007F31B0" w:rsidRDefault="007F31B0" w:rsidP="007F31B0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7F31B0" w:rsidRDefault="007F31B0" w:rsidP="007F31B0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7F31B0" w:rsidRDefault="007F31B0" w:rsidP="007F31B0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              </w:t>
      </w:r>
    </w:p>
    <w:p w:rsidR="007F31B0" w:rsidRDefault="007F31B0" w:rsidP="007F31B0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7F31B0" w:rsidRPr="007F31B0" w:rsidRDefault="007F31B0" w:rsidP="007F31B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                </w:t>
      </w:r>
      <w:r w:rsidRPr="007F31B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ที่มา </w:t>
      </w:r>
      <w:r w:rsidRPr="007F31B0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7F31B0">
        <w:rPr>
          <w:rFonts w:ascii="TH SarabunPSK" w:hAnsi="TH SarabunPSK" w:cs="TH SarabunPSK" w:hint="cs"/>
          <w:b/>
          <w:bCs/>
          <w:sz w:val="24"/>
          <w:szCs w:val="24"/>
          <w:cs/>
        </w:rPr>
        <w:t>ธนาคารแห่งประเทศไทย</w:t>
      </w:r>
    </w:p>
    <w:p w:rsidR="007F31B0" w:rsidRDefault="007F31B0" w:rsidP="00E513A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6D83" w:rsidRPr="00E513AF" w:rsidRDefault="00E513AF" w:rsidP="00E513A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ผลที่อาจกระทบต่อ </w:t>
      </w:r>
      <w:r w:rsidRPr="00E513AF">
        <w:rPr>
          <w:rFonts w:ascii="TH SarabunPSK" w:hAnsi="TH SarabunPSK" w:cs="TH SarabunPSK"/>
          <w:b/>
          <w:bCs/>
          <w:sz w:val="32"/>
          <w:szCs w:val="32"/>
        </w:rPr>
        <w:t>SMEs</w:t>
      </w:r>
    </w:p>
    <w:p w:rsidR="00233950" w:rsidRDefault="00152912" w:rsidP="00B2647C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เมื่อพิจารณาสถานการณ์การค้าระหว่างประเทศของ </w:t>
      </w:r>
      <w:r>
        <w:rPr>
          <w:rFonts w:ascii="TH SarabunPSK" w:hAnsi="TH SarabunPSK" w:cs="TH SarabunPSK"/>
          <w:sz w:val="32"/>
          <w:szCs w:val="32"/>
        </w:rPr>
        <w:t>SMEs</w:t>
      </w:r>
      <w:r w:rsidR="00233950">
        <w:rPr>
          <w:rFonts w:ascii="TH SarabunPSK" w:hAnsi="TH SarabunPSK" w:cs="TH SarabunPSK"/>
          <w:sz w:val="32"/>
          <w:szCs w:val="32"/>
        </w:rPr>
        <w:t xml:space="preserve"> </w:t>
      </w:r>
      <w:r w:rsidR="00233950">
        <w:rPr>
          <w:rFonts w:ascii="TH SarabunPSK" w:hAnsi="TH SarabunPSK" w:cs="TH SarabunPSK" w:hint="cs"/>
          <w:sz w:val="32"/>
          <w:szCs w:val="32"/>
          <w:cs/>
        </w:rPr>
        <w:t xml:space="preserve">ตั้งแต่ ม.ค. </w:t>
      </w:r>
      <w:r w:rsidR="00233950">
        <w:rPr>
          <w:rFonts w:ascii="TH SarabunPSK" w:hAnsi="TH SarabunPSK" w:cs="TH SarabunPSK"/>
          <w:sz w:val="32"/>
          <w:szCs w:val="32"/>
          <w:cs/>
        </w:rPr>
        <w:t>–</w:t>
      </w:r>
      <w:r w:rsidR="00233950">
        <w:rPr>
          <w:rFonts w:ascii="TH SarabunPSK" w:hAnsi="TH SarabunPSK" w:cs="TH SarabunPSK" w:hint="cs"/>
          <w:sz w:val="32"/>
          <w:szCs w:val="32"/>
          <w:cs/>
        </w:rPr>
        <w:t xml:space="preserve"> ก.ค. 2557 พบว่ามูลค่าการส่งออกของ </w:t>
      </w:r>
      <w:r w:rsidR="00233950">
        <w:rPr>
          <w:rFonts w:ascii="TH SarabunPSK" w:hAnsi="TH SarabunPSK" w:cs="TH SarabunPSK"/>
          <w:sz w:val="32"/>
          <w:szCs w:val="32"/>
        </w:rPr>
        <w:t xml:space="preserve">SMEs </w:t>
      </w:r>
      <w:r w:rsidR="00B2647C">
        <w:rPr>
          <w:rFonts w:ascii="TH SarabunPSK" w:hAnsi="TH SarabunPSK" w:cs="TH SarabunPSK" w:hint="cs"/>
          <w:sz w:val="32"/>
          <w:szCs w:val="32"/>
          <w:cs/>
        </w:rPr>
        <w:t xml:space="preserve">เท่ากับ 35,284 ล้านเหรียญสหรัฐ ขยายตัวจากช่วงเดียวกันของปีก่อนร้อยละ 4.0 ในขณะที่การนำเข้าของ </w:t>
      </w:r>
      <w:r w:rsidR="00B2647C">
        <w:rPr>
          <w:rFonts w:ascii="TH SarabunPSK" w:hAnsi="TH SarabunPSK" w:cs="TH SarabunPSK"/>
          <w:sz w:val="32"/>
          <w:szCs w:val="32"/>
        </w:rPr>
        <w:t xml:space="preserve">SMEs </w:t>
      </w:r>
      <w:r w:rsidR="00B2647C">
        <w:rPr>
          <w:rFonts w:ascii="TH SarabunPSK" w:hAnsi="TH SarabunPSK" w:cs="TH SarabunPSK" w:hint="cs"/>
          <w:sz w:val="32"/>
          <w:szCs w:val="32"/>
          <w:cs/>
        </w:rPr>
        <w:t>มีมูลค่า 38,635 ล้านเหรียญสหรัฐ หดตัวลงจากช่วงเดียวกันของปีก่อนร้อยละ 20.1 โดยสามารถจำแนกตามกลุ่มตลาดหลักได้ดังนี้</w:t>
      </w:r>
    </w:p>
    <w:tbl>
      <w:tblPr>
        <w:tblW w:w="4922" w:type="pct"/>
        <w:jc w:val="center"/>
        <w:tblInd w:w="108" w:type="dxa"/>
        <w:tblCellMar>
          <w:left w:w="57" w:type="dxa"/>
          <w:right w:w="57" w:type="dxa"/>
        </w:tblCellMar>
        <w:tblLook w:val="04A0"/>
      </w:tblPr>
      <w:tblGrid>
        <w:gridCol w:w="2198"/>
        <w:gridCol w:w="1235"/>
        <w:gridCol w:w="1235"/>
        <w:gridCol w:w="1238"/>
        <w:gridCol w:w="1236"/>
        <w:gridCol w:w="1235"/>
        <w:gridCol w:w="1223"/>
      </w:tblGrid>
      <w:tr w:rsidR="00FD7C14" w:rsidRPr="00FD7C14" w:rsidTr="00DC6E3B">
        <w:trPr>
          <w:trHeight w:val="20"/>
          <w:jc w:val="center"/>
        </w:trPr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647C" w:rsidRPr="00FD7C14" w:rsidRDefault="00B2647C" w:rsidP="00B264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กลุ่มตลาดหลัก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647C" w:rsidRPr="00FD7C14" w:rsidRDefault="00FD7C14" w:rsidP="00B264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มูลค่าการ</w:t>
            </w:r>
            <w:r w:rsidR="00B2647C"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ส่งออก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647C" w:rsidRPr="00FD7C14" w:rsidRDefault="00FD7C14" w:rsidP="00B264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มูลค่าการ</w:t>
            </w:r>
            <w:r w:rsidR="00B2647C"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นำเข้า</w:t>
            </w:r>
          </w:p>
        </w:tc>
      </w:tr>
      <w:tr w:rsidR="00FD7C14" w:rsidRPr="00FD7C14" w:rsidTr="00DC6E3B">
        <w:trPr>
          <w:trHeight w:val="20"/>
          <w:jc w:val="center"/>
        </w:trPr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647C" w:rsidRPr="00FD7C14" w:rsidRDefault="00B2647C" w:rsidP="00B264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647C" w:rsidRPr="00FD7C14" w:rsidRDefault="00B2647C" w:rsidP="00B264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มูลค่า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ล้าน 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USD)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647C" w:rsidRPr="00FD7C14" w:rsidRDefault="00B2647C" w:rsidP="00B264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647C" w:rsidRPr="00FD7C14" w:rsidRDefault="00B2647C" w:rsidP="00B264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อัตราการเติบโต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proofErr w:type="spellStart"/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yoy</w:t>
            </w:r>
            <w:proofErr w:type="spellEnd"/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647C" w:rsidRPr="00FD7C14" w:rsidRDefault="00B2647C" w:rsidP="00B264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มูลค่า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ล้าน 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USD)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647C" w:rsidRPr="00FD7C14" w:rsidRDefault="00B2647C" w:rsidP="00B264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647C" w:rsidRPr="00FD7C14" w:rsidRDefault="00B2647C" w:rsidP="00B264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อัตราการเติบโต</w:t>
            </w: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</w:t>
            </w:r>
            <w:proofErr w:type="spellStart"/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yoy</w:t>
            </w:r>
            <w:proofErr w:type="spellEnd"/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D7C14" w:rsidRPr="00FD7C14" w:rsidTr="00DC6E3B">
        <w:trPr>
          <w:trHeight w:val="20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EU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3,592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10.2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8.4%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4,723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12.2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2.0%</w:t>
            </w:r>
          </w:p>
        </w:tc>
      </w:tr>
      <w:tr w:rsidR="00FD7C14" w:rsidRPr="00FD7C14" w:rsidTr="00DC6E3B">
        <w:trPr>
          <w:trHeight w:val="20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ASEAN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9,584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27.2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-2.9%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5,641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14.6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-8.2%</w:t>
            </w:r>
          </w:p>
        </w:tc>
      </w:tr>
      <w:tr w:rsidR="00FD7C14" w:rsidRPr="00FD7C14" w:rsidTr="00DC6E3B">
        <w:trPr>
          <w:trHeight w:val="20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CHINA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4,156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11.8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11.2%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10,402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26.9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-0.2%</w:t>
            </w:r>
          </w:p>
        </w:tc>
      </w:tr>
      <w:tr w:rsidR="00FD7C14" w:rsidRPr="00FD7C14" w:rsidTr="00DC6E3B">
        <w:trPr>
          <w:trHeight w:val="20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JAPAN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3,446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9.8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3.1%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5,756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14.9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-15.3%</w:t>
            </w:r>
          </w:p>
        </w:tc>
      </w:tr>
      <w:tr w:rsidR="00FD7C14" w:rsidRPr="00FD7C14" w:rsidTr="00DC6E3B">
        <w:trPr>
          <w:trHeight w:val="20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USA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2,651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7.5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4.9%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2,300</w:t>
            </w:r>
          </w:p>
        </w:tc>
        <w:tc>
          <w:tcPr>
            <w:tcW w:w="6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6.0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-25.4%</w:t>
            </w:r>
          </w:p>
        </w:tc>
      </w:tr>
      <w:tr w:rsidR="00FD7C14" w:rsidRPr="00FD7C14" w:rsidTr="00DC6E3B">
        <w:trPr>
          <w:trHeight w:val="20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11,854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33.6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6.3%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9,812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25.4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sz w:val="32"/>
                <w:szCs w:val="32"/>
              </w:rPr>
              <w:t>-43.3%</w:t>
            </w:r>
          </w:p>
        </w:tc>
      </w:tr>
      <w:tr w:rsidR="00FD7C14" w:rsidRPr="00FD7C14" w:rsidTr="00DC6E3B">
        <w:trPr>
          <w:trHeight w:val="20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35,284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4.0%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38,635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647C" w:rsidRPr="00FD7C14" w:rsidRDefault="00B2647C" w:rsidP="00B2647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7C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-20.1%</w:t>
            </w:r>
          </w:p>
        </w:tc>
      </w:tr>
    </w:tbl>
    <w:p w:rsidR="00F819A3" w:rsidRDefault="00F819A3" w:rsidP="001E1664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41A80">
        <w:rPr>
          <w:rFonts w:ascii="TH SarabunPSK" w:hAnsi="TH SarabunPSK" w:cs="TH SarabunPSK" w:hint="cs"/>
          <w:sz w:val="32"/>
          <w:szCs w:val="32"/>
          <w:cs/>
        </w:rPr>
        <w:t>จากข้อมูลดังกล่าวจะเห็นว่า</w:t>
      </w:r>
      <w:r w:rsidR="00DC6E3B">
        <w:rPr>
          <w:rFonts w:ascii="TH SarabunPSK" w:hAnsi="TH SarabunPSK" w:cs="TH SarabunPSK" w:hint="cs"/>
          <w:sz w:val="32"/>
          <w:szCs w:val="32"/>
          <w:cs/>
        </w:rPr>
        <w:t xml:space="preserve">มูลค่าการส่งออกของ </w:t>
      </w:r>
      <w:r w:rsidR="00DC6E3B">
        <w:rPr>
          <w:rFonts w:ascii="TH SarabunPSK" w:hAnsi="TH SarabunPSK" w:cs="TH SarabunPSK"/>
          <w:sz w:val="32"/>
          <w:szCs w:val="32"/>
        </w:rPr>
        <w:t xml:space="preserve">SMEs </w:t>
      </w:r>
      <w:r w:rsidRPr="00641A80">
        <w:rPr>
          <w:rFonts w:ascii="TH SarabunPSK" w:hAnsi="TH SarabunPSK" w:cs="TH SarabunPSK" w:hint="cs"/>
          <w:sz w:val="32"/>
          <w:szCs w:val="32"/>
          <w:cs/>
        </w:rPr>
        <w:t>มีการขยายตัว</w:t>
      </w:r>
      <w:r w:rsidR="00DC6E3B">
        <w:rPr>
          <w:rFonts w:ascii="TH SarabunPSK" w:hAnsi="TH SarabunPSK" w:cs="TH SarabunPSK" w:hint="cs"/>
          <w:sz w:val="32"/>
          <w:szCs w:val="32"/>
          <w:cs/>
        </w:rPr>
        <w:t xml:space="preserve">แทบจะทุกกลุ่มตลาดหลัก มีเพียงตลาดในกลุ่ม </w:t>
      </w:r>
      <w:r w:rsidR="00DC6E3B">
        <w:rPr>
          <w:rFonts w:ascii="TH SarabunPSK" w:hAnsi="TH SarabunPSK" w:cs="TH SarabunPSK"/>
          <w:sz w:val="32"/>
          <w:szCs w:val="32"/>
        </w:rPr>
        <w:t xml:space="preserve">ASEAN </w:t>
      </w:r>
      <w:r w:rsidR="00DC6E3B">
        <w:rPr>
          <w:rFonts w:ascii="TH SarabunPSK" w:hAnsi="TH SarabunPSK" w:cs="TH SarabunPSK" w:hint="cs"/>
          <w:sz w:val="32"/>
          <w:szCs w:val="32"/>
          <w:cs/>
        </w:rPr>
        <w:t>ที่หดตัวลง</w:t>
      </w:r>
      <w:r w:rsidRPr="00641A80">
        <w:rPr>
          <w:rFonts w:ascii="TH SarabunPSK" w:hAnsi="TH SarabunPSK" w:cs="TH SarabunPSK" w:hint="cs"/>
          <w:sz w:val="32"/>
          <w:szCs w:val="32"/>
          <w:cs/>
        </w:rPr>
        <w:t xml:space="preserve"> ทั้งนี้เนื่องจากการที่เศรษฐกิจของสหภาพยุโรป</w:t>
      </w:r>
      <w:r w:rsidR="003D3DCE">
        <w:rPr>
          <w:rFonts w:ascii="TH SarabunPSK" w:hAnsi="TH SarabunPSK" w:cs="TH SarabunPSK" w:hint="cs"/>
          <w:sz w:val="32"/>
          <w:szCs w:val="32"/>
          <w:cs/>
        </w:rPr>
        <w:t>และสหรัฐฯที่เริ่ม</w:t>
      </w:r>
      <w:r w:rsidRPr="00641A80">
        <w:rPr>
          <w:rFonts w:ascii="TH SarabunPSK" w:hAnsi="TH SarabunPSK" w:cs="TH SarabunPSK" w:hint="cs"/>
          <w:sz w:val="32"/>
          <w:szCs w:val="32"/>
          <w:cs/>
        </w:rPr>
        <w:t>ฟื้นตัว</w:t>
      </w:r>
      <w:r w:rsidR="003D3DCE">
        <w:rPr>
          <w:rFonts w:ascii="TH SarabunPSK" w:hAnsi="TH SarabunPSK" w:cs="TH SarabunPSK" w:hint="cs"/>
          <w:sz w:val="32"/>
          <w:szCs w:val="32"/>
          <w:cs/>
        </w:rPr>
        <w:t xml:space="preserve"> ในขณะที่เศรษฐกิจจีนยังคงเติบโตต่อเนื่อง</w:t>
      </w:r>
      <w:r w:rsidRPr="00641A80"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 w:rsidR="007F31B0">
        <w:rPr>
          <w:rFonts w:ascii="TH SarabunPSK" w:hAnsi="TH SarabunPSK" w:cs="TH SarabunPSK" w:hint="cs"/>
          <w:sz w:val="32"/>
          <w:szCs w:val="32"/>
          <w:cs/>
        </w:rPr>
        <w:t xml:space="preserve">ในระยะสั้น </w:t>
      </w:r>
      <w:r w:rsidRPr="00641A80">
        <w:rPr>
          <w:rFonts w:ascii="TH SarabunPSK" w:hAnsi="TH SarabunPSK" w:cs="TH SarabunPSK" w:hint="cs"/>
          <w:sz w:val="32"/>
          <w:szCs w:val="32"/>
          <w:cs/>
        </w:rPr>
        <w:t>การอ่อนค่าลงของเงิน</w:t>
      </w:r>
      <w:r w:rsidR="003D3DCE">
        <w:rPr>
          <w:rFonts w:ascii="TH SarabunPSK" w:hAnsi="TH SarabunPSK" w:cs="TH SarabunPSK" w:hint="cs"/>
          <w:sz w:val="32"/>
          <w:szCs w:val="32"/>
          <w:cs/>
        </w:rPr>
        <w:t>สกุลหลัก</w:t>
      </w:r>
      <w:r w:rsidR="007F31B0">
        <w:rPr>
          <w:rFonts w:ascii="TH SarabunPSK" w:hAnsi="TH SarabunPSK" w:cs="TH SarabunPSK" w:hint="cs"/>
          <w:sz w:val="32"/>
          <w:szCs w:val="32"/>
          <w:cs/>
        </w:rPr>
        <w:t>โดยเฉพาะอย่างยิ่งสกุลยูโร</w:t>
      </w:r>
      <w:r w:rsidRPr="00641A80">
        <w:rPr>
          <w:rFonts w:ascii="TH SarabunPSK" w:hAnsi="TH SarabunPSK" w:cs="TH SarabunPSK" w:hint="cs"/>
          <w:sz w:val="32"/>
          <w:szCs w:val="32"/>
          <w:cs/>
        </w:rPr>
        <w:t>จึงไม่มีผลกระทบต่อ</w:t>
      </w:r>
      <w:r w:rsidR="007F31B0">
        <w:rPr>
          <w:rFonts w:ascii="TH SarabunPSK" w:hAnsi="TH SarabunPSK" w:cs="TH SarabunPSK" w:hint="cs"/>
          <w:sz w:val="32"/>
          <w:szCs w:val="32"/>
          <w:cs/>
        </w:rPr>
        <w:t>การส่งออกของ</w:t>
      </w:r>
      <w:r w:rsidRPr="00641A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1A80">
        <w:rPr>
          <w:rFonts w:ascii="TH SarabunPSK" w:hAnsi="TH SarabunPSK" w:cs="TH SarabunPSK"/>
          <w:sz w:val="32"/>
          <w:szCs w:val="32"/>
        </w:rPr>
        <w:t>SMEs</w:t>
      </w:r>
      <w:r w:rsidR="007F31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1A80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7F31B0">
        <w:rPr>
          <w:rFonts w:ascii="TH SarabunPSK" w:hAnsi="TH SarabunPSK" w:cs="TH SarabunPSK" w:hint="cs"/>
          <w:sz w:val="32"/>
          <w:szCs w:val="32"/>
          <w:cs/>
        </w:rPr>
        <w:t>ในระยะยาว</w:t>
      </w:r>
      <w:r w:rsidRPr="00641A80">
        <w:rPr>
          <w:rFonts w:ascii="TH SarabunPSK" w:hAnsi="TH SarabunPSK" w:cs="TH SarabunPSK" w:hint="cs"/>
          <w:sz w:val="32"/>
          <w:szCs w:val="32"/>
          <w:cs/>
        </w:rPr>
        <w:t xml:space="preserve">อาจได้รับผลกระทบทางอ้อมจากมาตรการของ </w:t>
      </w:r>
      <w:r w:rsidRPr="00641A80">
        <w:rPr>
          <w:rFonts w:ascii="TH SarabunPSK" w:hAnsi="TH SarabunPSK" w:cs="TH SarabunPSK"/>
          <w:sz w:val="32"/>
          <w:szCs w:val="32"/>
        </w:rPr>
        <w:t xml:space="preserve">ECB </w:t>
      </w:r>
      <w:r w:rsidRPr="00641A8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41A80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641A80">
        <w:rPr>
          <w:rFonts w:ascii="TH SarabunPSK" w:hAnsi="TH SarabunPSK" w:cs="TH SarabunPSK" w:hint="cs"/>
          <w:sz w:val="32"/>
          <w:szCs w:val="32"/>
          <w:cs/>
        </w:rPr>
        <w:t>ช่วยกระตุ้นเศรษฐกิจในกลุ่มประเทศสหภาพยุโรป ซึ่ง</w:t>
      </w:r>
      <w:r w:rsidR="007F31B0">
        <w:rPr>
          <w:rFonts w:ascii="TH SarabunPSK" w:hAnsi="TH SarabunPSK" w:cs="TH SarabunPSK" w:hint="cs"/>
          <w:sz w:val="32"/>
          <w:szCs w:val="32"/>
          <w:cs/>
        </w:rPr>
        <w:t>ถือ</w:t>
      </w:r>
      <w:r w:rsidRPr="00641A80">
        <w:rPr>
          <w:rFonts w:ascii="TH SarabunPSK" w:hAnsi="TH SarabunPSK" w:cs="TH SarabunPSK" w:hint="cs"/>
          <w:sz w:val="32"/>
          <w:szCs w:val="32"/>
          <w:cs/>
        </w:rPr>
        <w:t xml:space="preserve">เป็นผลดีต่อการส่งออกของ </w:t>
      </w:r>
      <w:r w:rsidRPr="00641A80">
        <w:rPr>
          <w:rFonts w:ascii="TH SarabunPSK" w:hAnsi="TH SarabunPSK" w:cs="TH SarabunPSK"/>
          <w:sz w:val="32"/>
          <w:szCs w:val="32"/>
        </w:rPr>
        <w:t>SMEs</w:t>
      </w:r>
    </w:p>
    <w:p w:rsidR="001E1664" w:rsidRPr="00641A80" w:rsidRDefault="001E1664" w:rsidP="001E1664">
      <w:pPr>
        <w:ind w:firstLine="851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สำนักข้อมูลและวิจัย</w:t>
      </w:r>
    </w:p>
    <w:sectPr w:rsidR="001E1664" w:rsidRPr="00641A80" w:rsidSect="00CE79B1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BF" w:rsidRDefault="00043CBF" w:rsidP="00DC6E3B">
      <w:pPr>
        <w:spacing w:after="0" w:line="240" w:lineRule="auto"/>
      </w:pPr>
      <w:r>
        <w:separator/>
      </w:r>
    </w:p>
  </w:endnote>
  <w:endnote w:type="continuationSeparator" w:id="1">
    <w:p w:rsidR="00043CBF" w:rsidRDefault="00043CBF" w:rsidP="00DC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BF" w:rsidRDefault="00043CBF" w:rsidP="00DC6E3B">
      <w:pPr>
        <w:spacing w:after="0" w:line="240" w:lineRule="auto"/>
      </w:pPr>
      <w:r>
        <w:separator/>
      </w:r>
    </w:p>
  </w:footnote>
  <w:footnote w:type="continuationSeparator" w:id="1">
    <w:p w:rsidR="00043CBF" w:rsidRDefault="00043CBF" w:rsidP="00DC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A7C"/>
    <w:multiLevelType w:val="hybridMultilevel"/>
    <w:tmpl w:val="3C0AB054"/>
    <w:lvl w:ilvl="0" w:tplc="F8A4325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AE1D2C"/>
    <w:multiLevelType w:val="hybridMultilevel"/>
    <w:tmpl w:val="B484DEE4"/>
    <w:lvl w:ilvl="0" w:tplc="5014A8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D07E5"/>
    <w:rsid w:val="00043CBF"/>
    <w:rsid w:val="00095FCA"/>
    <w:rsid w:val="000E640B"/>
    <w:rsid w:val="00152912"/>
    <w:rsid w:val="001E1664"/>
    <w:rsid w:val="002106D2"/>
    <w:rsid w:val="00233950"/>
    <w:rsid w:val="00242FAC"/>
    <w:rsid w:val="002E5EF5"/>
    <w:rsid w:val="00342C99"/>
    <w:rsid w:val="003967E2"/>
    <w:rsid w:val="003C556F"/>
    <w:rsid w:val="003D3DCE"/>
    <w:rsid w:val="00421F2C"/>
    <w:rsid w:val="00436EB3"/>
    <w:rsid w:val="004D07E5"/>
    <w:rsid w:val="00565A8A"/>
    <w:rsid w:val="00641A80"/>
    <w:rsid w:val="006673BB"/>
    <w:rsid w:val="007A0898"/>
    <w:rsid w:val="007F31B0"/>
    <w:rsid w:val="00A04F47"/>
    <w:rsid w:val="00A332B7"/>
    <w:rsid w:val="00A438CA"/>
    <w:rsid w:val="00A86D83"/>
    <w:rsid w:val="00AD1029"/>
    <w:rsid w:val="00AD5215"/>
    <w:rsid w:val="00B2647C"/>
    <w:rsid w:val="00BE3BC1"/>
    <w:rsid w:val="00C148D4"/>
    <w:rsid w:val="00C413A1"/>
    <w:rsid w:val="00CE79B1"/>
    <w:rsid w:val="00DC6E3B"/>
    <w:rsid w:val="00E513AF"/>
    <w:rsid w:val="00EA4717"/>
    <w:rsid w:val="00F03246"/>
    <w:rsid w:val="00F819A3"/>
    <w:rsid w:val="00F86CAA"/>
    <w:rsid w:val="00FD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9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1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D7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E3B"/>
  </w:style>
  <w:style w:type="paragraph" w:styleId="Footer">
    <w:name w:val="footer"/>
    <w:basedOn w:val="Normal"/>
    <w:link w:val="FooterChar"/>
    <w:uiPriority w:val="99"/>
    <w:semiHidden/>
    <w:unhideWhenUsed/>
    <w:rsid w:val="00DC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attakrit\Desktop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 sz="1400"/>
            </a:pPr>
            <a:r>
              <a:rPr lang="th-TH" sz="1400"/>
              <a:t>อัตราแลกเปลี่ยเฉลี่ยของเงินสกุลหลัก ม.ค.-ส.ค. 2557</a:t>
            </a:r>
            <a:endParaRPr lang="en-US" sz="1400"/>
          </a:p>
        </c:rich>
      </c:tx>
      <c:layout>
        <c:manualLayout>
          <c:xMode val="edge"/>
          <c:yMode val="edge"/>
          <c:x val="0.15447144317430248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7.2766185476815431E-2"/>
          <c:y val="0.112295634920635"/>
          <c:w val="0.89901159230096261"/>
          <c:h val="0.68048214285714259"/>
        </c:manualLayout>
      </c:layout>
      <c:lineChart>
        <c:grouping val="standard"/>
        <c:ser>
          <c:idx val="0"/>
          <c:order val="0"/>
          <c:tx>
            <c:strRef>
              <c:f>Sheet1!$A$3</c:f>
              <c:strCache>
                <c:ptCount val="1"/>
                <c:pt idx="0">
                  <c:v>USD</c:v>
                </c:pt>
              </c:strCache>
            </c:strRef>
          </c:tx>
          <c:marker>
            <c:symbol val="none"/>
          </c:marker>
          <c:dLbls>
            <c:dLbl>
              <c:idx val="7"/>
              <c:layout>
                <c:manualLayout>
                  <c:x val="-3.1723651744800845E-2"/>
                  <c:y val="-7.0617906683480489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rgbClr val="002060"/>
                        </a:solidFill>
                      </a:defRPr>
                    </a:pPr>
                    <a:r>
                      <a:rPr lang="en-US" sz="900" b="1">
                        <a:solidFill>
                          <a:srgbClr val="002060"/>
                        </a:solidFill>
                      </a:rPr>
                      <a:t>USD
(32.0)</a:t>
                    </a:r>
                  </a:p>
                </c:rich>
              </c:tx>
              <c:spPr/>
              <c:showVal val="1"/>
              <c:showSerName val="1"/>
              <c:separator>
</c:separator>
            </c:dLbl>
            <c:delete val="1"/>
          </c:dLbls>
          <c:cat>
            <c:strRef>
              <c:f>Sheet1!$B$2:$I$2</c:f>
              <c:strCache>
                <c:ptCount val="8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</c:strCache>
            </c:strRef>
          </c:cat>
          <c:val>
            <c:numRef>
              <c:f>Sheet1!$B$3:$I$3</c:f>
              <c:numCache>
                <c:formatCode>0.0</c:formatCode>
                <c:ptCount val="8"/>
                <c:pt idx="0">
                  <c:v>32.939400000000006</c:v>
                </c:pt>
                <c:pt idx="1">
                  <c:v>32.651800000000001</c:v>
                </c:pt>
                <c:pt idx="2">
                  <c:v>32.394100000000002</c:v>
                </c:pt>
                <c:pt idx="3">
                  <c:v>32.317599999999999</c:v>
                </c:pt>
                <c:pt idx="4">
                  <c:v>32.526900000000012</c:v>
                </c:pt>
                <c:pt idx="5">
                  <c:v>32.511099999999999</c:v>
                </c:pt>
                <c:pt idx="6">
                  <c:v>32.099800000000002</c:v>
                </c:pt>
                <c:pt idx="7">
                  <c:v>32.005500000000012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EUR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0"/>
                  <c:y val="2.0176544766708701E-2"/>
                </c:manualLayout>
              </c:layout>
              <c:tx>
                <c:rich>
                  <a:bodyPr/>
                  <a:lstStyle/>
                  <a:p>
                    <a:pPr>
                      <a:defRPr sz="900" b="1" i="0">
                        <a:solidFill>
                          <a:schemeClr val="accent2">
                            <a:lumMod val="50000"/>
                          </a:schemeClr>
                        </a:solidFill>
                      </a:defRPr>
                    </a:pPr>
                    <a:r>
                      <a:rPr lang="en-US" sz="900" b="1" i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EUR
(42.6)</a:t>
                    </a:r>
                  </a:p>
                </c:rich>
              </c:tx>
              <c:spPr/>
              <c:showVal val="1"/>
              <c:showSerName val="1"/>
              <c:separator>
</c:separator>
            </c:dLbl>
            <c:showSerName val="1"/>
            <c:separator>
</c:separator>
          </c:dLbls>
          <c:cat>
            <c:strRef>
              <c:f>Sheet1!$B$2:$I$2</c:f>
              <c:strCache>
                <c:ptCount val="8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</c:strCache>
            </c:strRef>
          </c:cat>
          <c:val>
            <c:numRef>
              <c:f>Sheet1!$B$4:$I$4</c:f>
              <c:numCache>
                <c:formatCode>0.0</c:formatCode>
                <c:ptCount val="8"/>
                <c:pt idx="0">
                  <c:v>44.870200000000004</c:v>
                </c:pt>
                <c:pt idx="1">
                  <c:v>44.569000000000003</c:v>
                </c:pt>
                <c:pt idx="2">
                  <c:v>44.773800000000001</c:v>
                </c:pt>
                <c:pt idx="3">
                  <c:v>44.617600000000003</c:v>
                </c:pt>
                <c:pt idx="4">
                  <c:v>44.65</c:v>
                </c:pt>
                <c:pt idx="5">
                  <c:v>44.189700000000002</c:v>
                </c:pt>
                <c:pt idx="6">
                  <c:v>43.457399999999993</c:v>
                </c:pt>
                <c:pt idx="7">
                  <c:v>42.609700000000011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JPY(100)</c:v>
                </c:pt>
              </c:strCache>
            </c:strRef>
          </c:tx>
          <c:marker>
            <c:symbol val="none"/>
          </c:marker>
          <c:dLbls>
            <c:dLbl>
              <c:idx val="7"/>
              <c:layout>
                <c:manualLayout>
                  <c:x val="0"/>
                  <c:y val="4.5397225725094595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accent3">
                            <a:lumMod val="50000"/>
                          </a:schemeClr>
                        </a:solidFill>
                      </a:defRPr>
                    </a:pPr>
                    <a:r>
                      <a:rPr lang="en-US" sz="900" b="1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t>JPY(100)
(31.1)</a:t>
                    </a:r>
                  </a:p>
                </c:rich>
              </c:tx>
              <c:spPr/>
              <c:showVal val="1"/>
              <c:showSerName val="1"/>
              <c:separator>
</c:separator>
            </c:dLbl>
            <c:delete val="1"/>
          </c:dLbls>
          <c:cat>
            <c:strRef>
              <c:f>Sheet1!$B$2:$I$2</c:f>
              <c:strCache>
                <c:ptCount val="8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</c:strCache>
            </c:strRef>
          </c:cat>
          <c:val>
            <c:numRef>
              <c:f>Sheet1!$B$5:$I$5</c:f>
              <c:numCache>
                <c:formatCode>0.0</c:formatCode>
                <c:ptCount val="8"/>
                <c:pt idx="0">
                  <c:v>31.680900000000001</c:v>
                </c:pt>
                <c:pt idx="1">
                  <c:v>31.986599999999985</c:v>
                </c:pt>
                <c:pt idx="2">
                  <c:v>31.676400000000001</c:v>
                </c:pt>
                <c:pt idx="3">
                  <c:v>31.5</c:v>
                </c:pt>
                <c:pt idx="4">
                  <c:v>31.96329999999999</c:v>
                </c:pt>
                <c:pt idx="5">
                  <c:v>31.857500000000005</c:v>
                </c:pt>
                <c:pt idx="6">
                  <c:v>31.5565</c:v>
                </c:pt>
                <c:pt idx="7">
                  <c:v>31.0703</c:v>
                </c:pt>
              </c:numCache>
            </c:numRef>
          </c:val>
        </c:ser>
        <c:marker val="1"/>
        <c:axId val="63204352"/>
        <c:axId val="22237952"/>
      </c:lineChart>
      <c:catAx>
        <c:axId val="63204352"/>
        <c:scaling>
          <c:orientation val="minMax"/>
        </c:scaling>
        <c:axPos val="b"/>
        <c:numFmt formatCode="B1mmm\-yy" sourceLinked="1"/>
        <c:tickLblPos val="nextTo"/>
        <c:txPr>
          <a:bodyPr/>
          <a:lstStyle/>
          <a:p>
            <a:pPr>
              <a:defRPr sz="1200" b="1"/>
            </a:pPr>
            <a:endParaRPr lang="th-TH"/>
          </a:p>
        </c:txPr>
        <c:crossAx val="22237952"/>
        <c:crosses val="autoZero"/>
        <c:auto val="1"/>
        <c:lblAlgn val="ctr"/>
        <c:lblOffset val="100"/>
      </c:catAx>
      <c:valAx>
        <c:axId val="22237952"/>
        <c:scaling>
          <c:orientation val="minMax"/>
          <c:max val="46"/>
          <c:min val="3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1100" b="1"/>
            </a:pPr>
            <a:endParaRPr lang="th-TH"/>
          </a:p>
        </c:txPr>
        <c:crossAx val="63204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328888888888889"/>
          <c:y val="0.89617245518728761"/>
          <c:w val="0.5226666666666665"/>
          <c:h val="9.9476693320311713E-2"/>
        </c:manualLayout>
      </c:layout>
      <c:txPr>
        <a:bodyPr/>
        <a:lstStyle/>
        <a:p>
          <a:pPr>
            <a:defRPr sz="1100" b="1"/>
          </a:pPr>
          <a:endParaRPr lang="th-TH"/>
        </a:p>
      </c:txPr>
    </c:legend>
    <c:plotVisOnly val="1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nattakrit</dc:creator>
  <cp:keywords/>
  <dc:description/>
  <cp:lastModifiedBy>nattakrit</cp:lastModifiedBy>
  <cp:revision>9</cp:revision>
  <cp:lastPrinted>2014-09-15T06:23:00Z</cp:lastPrinted>
  <dcterms:created xsi:type="dcterms:W3CDTF">2014-09-11T03:32:00Z</dcterms:created>
  <dcterms:modified xsi:type="dcterms:W3CDTF">2014-10-21T09:05:00Z</dcterms:modified>
</cp:coreProperties>
</file>